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422" w:rsidRDefault="002A6422" w:rsidP="002A6422">
      <w:pPr>
        <w:ind w:right="1584"/>
        <w:rPr>
          <w:noProof/>
        </w:rPr>
      </w:pPr>
    </w:p>
    <w:p w:rsidR="002A6422" w:rsidRDefault="002A6422" w:rsidP="002A6422">
      <w:pPr>
        <w:ind w:right="1584"/>
        <w:rPr>
          <w:rStyle w:val="Strong"/>
          <w:rFonts w:asciiTheme="minorHAnsi" w:hAnsiTheme="minorHAnsi"/>
        </w:rPr>
      </w:pPr>
      <w:r w:rsidRPr="002A6422">
        <w:rPr>
          <w:rStyle w:val="Strong"/>
          <w:rFonts w:asciiTheme="minorHAnsi" w:hAnsiTheme="minorHAnsi"/>
        </w:rPr>
        <w:t>Just Plain Data Analysis: Using Social Indicator Data to Make Sound Policy</w:t>
      </w:r>
    </w:p>
    <w:p w:rsidR="002A6422" w:rsidRDefault="002A6422" w:rsidP="002A6422">
      <w:pPr>
        <w:ind w:right="1584"/>
        <w:rPr>
          <w:rStyle w:val="Strong"/>
          <w:rFonts w:asciiTheme="minorHAnsi" w:hAnsiTheme="minorHAnsi"/>
        </w:rPr>
      </w:pPr>
    </w:p>
    <w:p w:rsidR="002D4AFE" w:rsidRDefault="002D4AFE" w:rsidP="002A6422">
      <w:pPr>
        <w:ind w:right="1584"/>
        <w:rPr>
          <w:rStyle w:val="Strong"/>
          <w:rFonts w:asciiTheme="minorHAnsi" w:hAnsiTheme="minorHAnsi"/>
        </w:rPr>
      </w:pPr>
      <w:r w:rsidRPr="002A6422">
        <w:rPr>
          <w:rStyle w:val="Strong"/>
          <w:rFonts w:asciiTheme="minorHAnsi" w:hAnsiTheme="minorHAnsi"/>
        </w:rPr>
        <w:t>Instructor:</w:t>
      </w:r>
      <w:r w:rsidRPr="002A6422">
        <w:rPr>
          <w:rFonts w:asciiTheme="minorHAnsi" w:hAnsiTheme="minorHAnsi"/>
        </w:rPr>
        <w:br/>
      </w:r>
      <w:r w:rsidRPr="002A6422">
        <w:rPr>
          <w:rStyle w:val="Strong"/>
          <w:rFonts w:asciiTheme="minorHAnsi" w:hAnsiTheme="minorHAnsi"/>
        </w:rPr>
        <w:t>Gary M. Klass, Ph.D., Associate Professor</w:t>
      </w:r>
      <w:r w:rsidRPr="002A6422">
        <w:rPr>
          <w:rFonts w:asciiTheme="minorHAnsi" w:hAnsiTheme="minorHAnsi"/>
          <w:b/>
          <w:bCs/>
        </w:rPr>
        <w:br/>
      </w:r>
      <w:r w:rsidRPr="002A6422">
        <w:rPr>
          <w:rStyle w:val="Strong"/>
          <w:rFonts w:asciiTheme="minorHAnsi" w:hAnsiTheme="minorHAnsi"/>
        </w:rPr>
        <w:t>Department of Politics and Government</w:t>
      </w:r>
      <w:r w:rsidRPr="002A6422">
        <w:rPr>
          <w:rFonts w:asciiTheme="minorHAnsi" w:hAnsiTheme="minorHAnsi"/>
          <w:b/>
          <w:bCs/>
        </w:rPr>
        <w:br/>
      </w:r>
      <w:r w:rsidRPr="002A6422">
        <w:rPr>
          <w:rStyle w:val="Strong"/>
          <w:rFonts w:asciiTheme="minorHAnsi" w:hAnsiTheme="minorHAnsi"/>
        </w:rPr>
        <w:t>Illinois State Universit</w:t>
      </w:r>
      <w:r>
        <w:rPr>
          <w:rStyle w:val="Strong"/>
          <w:rFonts w:asciiTheme="minorHAnsi" w:hAnsiTheme="minorHAnsi"/>
        </w:rPr>
        <w:t>y</w:t>
      </w:r>
    </w:p>
    <w:p w:rsidR="002A6422" w:rsidRDefault="002A6422" w:rsidP="002A6422">
      <w:pPr>
        <w:ind w:right="1584"/>
        <w:rPr>
          <w:rStyle w:val="Strong"/>
          <w:rFonts w:asciiTheme="minorHAnsi" w:hAnsiTheme="minorHAnsi"/>
        </w:rPr>
      </w:pPr>
    </w:p>
    <w:p w:rsidR="002D4AFE" w:rsidRDefault="002A6422" w:rsidP="002A6422">
      <w:pPr>
        <w:ind w:right="1584"/>
        <w:rPr>
          <w:rFonts w:asciiTheme="minorHAnsi" w:hAnsiTheme="minorHAnsi"/>
        </w:rPr>
      </w:pPr>
      <w:r w:rsidRPr="002A6422">
        <w:rPr>
          <w:rFonts w:asciiTheme="minorHAnsi" w:hAnsiTheme="minorHAnsi"/>
        </w:rPr>
        <w:br/>
      </w:r>
      <w:r w:rsidRPr="002A6422">
        <w:rPr>
          <w:rStyle w:val="Strong"/>
          <w:rFonts w:asciiTheme="minorHAnsi" w:hAnsiTheme="minorHAnsi"/>
        </w:rPr>
        <w:t>Saturday, October 24, 9:00 a.m. - 11:30 a.m.</w:t>
      </w:r>
      <w:r w:rsidRPr="002A6422">
        <w:rPr>
          <w:rFonts w:asciiTheme="minorHAnsi" w:hAnsiTheme="minorHAnsi"/>
        </w:rPr>
        <w:br/>
      </w:r>
      <w:r w:rsidRPr="002A6422">
        <w:rPr>
          <w:rFonts w:asciiTheme="minorHAnsi" w:hAnsiTheme="minorHAnsi"/>
        </w:rPr>
        <w:br/>
      </w:r>
      <w:r w:rsidRPr="002A6422">
        <w:rPr>
          <w:rStyle w:val="Strong"/>
          <w:rFonts w:asciiTheme="minorHAnsi" w:hAnsiTheme="minorHAnsi"/>
        </w:rPr>
        <w:t>Seminar Description: This seminar addresses three practical skills: finding the good data, effectively presenting those data, and making sound interpretations. Good data presentation skills are to data-based analysis what good writing is to literature, and some of the same principles apply to both. Poor tabular and graphical presentations often obscure critical facts and lead both readers and writers to draw erroneous conclusions from their data. Data interpretation entails drawing valid conclusions from numerical comparisons and recognizing and avoiding common statistical fallacies in data-based arguments. The seminar will also address how some statistical agencies hide data in plain sight, provide examples of bad graphical design from criminal justice research, and offer tips on using the Excel 2007 charting software.</w:t>
      </w:r>
      <w:r w:rsidRPr="002A6422">
        <w:rPr>
          <w:rFonts w:asciiTheme="minorHAnsi" w:hAnsiTheme="minorHAnsi"/>
        </w:rPr>
        <w:br/>
      </w:r>
    </w:p>
    <w:p w:rsidR="002D4AFE" w:rsidRDefault="002D4AFE" w:rsidP="002A6422">
      <w:pPr>
        <w:ind w:right="1584"/>
        <w:rPr>
          <w:rFonts w:asciiTheme="minorHAnsi" w:hAnsiTheme="minorHAnsi"/>
        </w:rPr>
      </w:pPr>
    </w:p>
    <w:p w:rsidR="002D4AFE" w:rsidRPr="007D6382" w:rsidRDefault="002D4AFE" w:rsidP="002A6422">
      <w:pPr>
        <w:ind w:right="1584"/>
        <w:rPr>
          <w:rFonts w:asciiTheme="minorHAnsi" w:hAnsiTheme="minorHAnsi"/>
          <w:b/>
        </w:rPr>
      </w:pPr>
      <w:r w:rsidRPr="007D6382">
        <w:rPr>
          <w:rFonts w:asciiTheme="minorHAnsi" w:hAnsiTheme="minorHAnsi"/>
          <w:b/>
        </w:rPr>
        <w:t>Justice Plain Data Analysis website:</w:t>
      </w:r>
    </w:p>
    <w:p w:rsidR="007D6382" w:rsidRPr="007D6382" w:rsidRDefault="007D6382" w:rsidP="002A6422">
      <w:pPr>
        <w:ind w:right="1584"/>
        <w:rPr>
          <w:rFonts w:asciiTheme="minorHAnsi" w:hAnsiTheme="minorHAnsi"/>
          <w:b/>
          <w:color w:val="000000" w:themeColor="text1"/>
        </w:rPr>
      </w:pPr>
      <w:r w:rsidRPr="007D6382">
        <w:rPr>
          <w:rFonts w:asciiTheme="minorHAnsi" w:hAnsiTheme="minorHAnsi"/>
          <w:b/>
          <w:color w:val="000000" w:themeColor="text1"/>
        </w:rPr>
        <w:t>http://lilt.ilstu.edu/jpda/</w:t>
      </w:r>
    </w:p>
    <w:p w:rsidR="007D6382" w:rsidRPr="007D6382" w:rsidRDefault="007D6382" w:rsidP="002A6422">
      <w:pPr>
        <w:ind w:right="1584"/>
        <w:rPr>
          <w:rFonts w:asciiTheme="minorHAnsi" w:hAnsiTheme="minorHAnsi"/>
          <w:b/>
        </w:rPr>
      </w:pPr>
    </w:p>
    <w:p w:rsidR="007D6382" w:rsidRPr="007D6382" w:rsidRDefault="007D6382" w:rsidP="002A6422">
      <w:pPr>
        <w:ind w:right="1584"/>
        <w:rPr>
          <w:rFonts w:asciiTheme="minorHAnsi" w:hAnsiTheme="minorHAnsi"/>
          <w:b/>
        </w:rPr>
      </w:pPr>
      <w:r w:rsidRPr="007D6382">
        <w:rPr>
          <w:rFonts w:asciiTheme="minorHAnsi" w:hAnsiTheme="minorHAnsi"/>
          <w:b/>
        </w:rPr>
        <w:t>Seminar materials (Powerpoint and Excel files):</w:t>
      </w:r>
    </w:p>
    <w:p w:rsidR="007D6382" w:rsidRPr="007D6382" w:rsidRDefault="007D6382" w:rsidP="002A6422">
      <w:pPr>
        <w:ind w:right="1584"/>
        <w:rPr>
          <w:rFonts w:asciiTheme="minorHAnsi" w:hAnsiTheme="minorHAnsi"/>
          <w:b/>
        </w:rPr>
      </w:pPr>
      <w:r w:rsidRPr="007D6382">
        <w:rPr>
          <w:rFonts w:asciiTheme="minorHAnsi" w:hAnsiTheme="minorHAnsi"/>
          <w:b/>
        </w:rPr>
        <w:t>http://lilt.ilstu.edu/jpda/JRSA</w:t>
      </w:r>
    </w:p>
    <w:p w:rsidR="002A6422" w:rsidRPr="007D6382" w:rsidRDefault="002A6422" w:rsidP="002A6422">
      <w:pPr>
        <w:ind w:right="1584"/>
        <w:rPr>
          <w:rFonts w:asciiTheme="minorHAnsi" w:hAnsiTheme="minorHAnsi"/>
          <w:b/>
          <w:noProof/>
        </w:rPr>
      </w:pPr>
      <w:r w:rsidRPr="007D6382">
        <w:rPr>
          <w:rFonts w:asciiTheme="minorHAnsi" w:hAnsiTheme="minorHAnsi"/>
          <w:b/>
        </w:rPr>
        <w:br/>
      </w:r>
    </w:p>
    <w:p w:rsidR="002A6422" w:rsidRDefault="002A6422" w:rsidP="002A6422">
      <w:pPr>
        <w:ind w:right="1584"/>
        <w:rPr>
          <w:noProof/>
        </w:rPr>
      </w:pPr>
    </w:p>
    <w:p w:rsidR="002A6422" w:rsidRDefault="002A6422" w:rsidP="002A6422">
      <w:pPr>
        <w:ind w:right="1584"/>
        <w:rPr>
          <w:noProof/>
        </w:rPr>
      </w:pPr>
    </w:p>
    <w:p w:rsidR="000B3129" w:rsidRDefault="000B3129">
      <w:pPr>
        <w:rPr>
          <w:noProof/>
        </w:rPr>
      </w:pPr>
      <w:r>
        <w:rPr>
          <w:noProof/>
        </w:rPr>
        <w:br w:type="page"/>
      </w:r>
    </w:p>
    <w:p w:rsidR="000B3129" w:rsidRPr="008234BA" w:rsidRDefault="006B42F1" w:rsidP="008234BA">
      <w:pPr>
        <w:ind w:right="1584"/>
        <w:jc w:val="center"/>
        <w:rPr>
          <w:b/>
          <w:noProof/>
        </w:rPr>
      </w:pPr>
      <w:r w:rsidRPr="006B42F1">
        <w:rPr>
          <w:rFonts w:ascii="Arial Black" w:hAnsi="Arial Black"/>
          <w:b/>
          <w:noProof/>
        </w:rPr>
        <w:lastRenderedPageBreak/>
        <w:t>Part I: Data Presentation</w:t>
      </w:r>
      <w:r>
        <w:rPr>
          <w:rFonts w:ascii="Arial Black" w:hAnsi="Arial Black"/>
          <w:b/>
          <w:noProof/>
        </w:rPr>
        <w:br/>
      </w:r>
      <w:r>
        <w:rPr>
          <w:b/>
          <w:noProof/>
        </w:rPr>
        <w:br/>
      </w:r>
      <w:r w:rsidR="000B3129" w:rsidRPr="008234BA">
        <w:rPr>
          <w:b/>
          <w:noProof/>
        </w:rPr>
        <w:t>Principles</w:t>
      </w:r>
      <w:r>
        <w:rPr>
          <w:b/>
          <w:noProof/>
        </w:rPr>
        <w:t xml:space="preserve"> </w:t>
      </w:r>
      <w:r w:rsidR="000B3129" w:rsidRPr="008234BA">
        <w:rPr>
          <w:b/>
          <w:noProof/>
        </w:rPr>
        <w:t>of Data Display</w:t>
      </w:r>
    </w:p>
    <w:p w:rsidR="000B3129" w:rsidRPr="00C31A65" w:rsidRDefault="000B3129" w:rsidP="00C31A65">
      <w:pPr>
        <w:spacing w:before="120" w:line="288" w:lineRule="auto"/>
        <w:ind w:right="1584"/>
        <w:rPr>
          <w:noProof/>
          <w:sz w:val="22"/>
        </w:rPr>
      </w:pPr>
      <w:r w:rsidRPr="00C31A65">
        <w:rPr>
          <w:noProof/>
          <w:sz w:val="22"/>
        </w:rPr>
        <w:t>General Principles</w:t>
      </w:r>
      <w:r w:rsidR="00F9793D" w:rsidRPr="00C31A65">
        <w:rPr>
          <w:noProof/>
          <w:sz w:val="22"/>
        </w:rPr>
        <w:t xml:space="preserve"> (Tufte)</w:t>
      </w:r>
      <w:r w:rsidRPr="00C31A65">
        <w:rPr>
          <w:noProof/>
          <w:sz w:val="22"/>
        </w:rPr>
        <w:t>:</w:t>
      </w:r>
    </w:p>
    <w:p w:rsidR="000B3129" w:rsidRPr="00C31A65" w:rsidRDefault="005700DA" w:rsidP="00C31A65">
      <w:pPr>
        <w:pStyle w:val="ListParagraph"/>
        <w:numPr>
          <w:ilvl w:val="0"/>
          <w:numId w:val="8"/>
        </w:numPr>
        <w:spacing w:before="120" w:line="288" w:lineRule="auto"/>
        <w:ind w:right="1584"/>
        <w:rPr>
          <w:noProof/>
          <w:sz w:val="22"/>
        </w:rPr>
      </w:pPr>
      <w:r w:rsidRPr="00C31A65">
        <w:rPr>
          <w:noProof/>
          <w:sz w:val="22"/>
        </w:rPr>
        <w:t>“</w:t>
      </w:r>
      <w:r w:rsidR="000B3129" w:rsidRPr="00C31A65">
        <w:rPr>
          <w:noProof/>
          <w:sz w:val="22"/>
        </w:rPr>
        <w:t>well-designed presentation of data of substance, statistics and design</w:t>
      </w:r>
    </w:p>
    <w:p w:rsidR="000B3129" w:rsidRPr="00C31A65" w:rsidRDefault="00303838" w:rsidP="00C31A65">
      <w:pPr>
        <w:pStyle w:val="ListParagraph"/>
        <w:numPr>
          <w:ilvl w:val="0"/>
          <w:numId w:val="8"/>
        </w:numPr>
        <w:spacing w:before="120" w:line="288" w:lineRule="auto"/>
        <w:ind w:right="1584"/>
        <w:rPr>
          <w:noProof/>
          <w:sz w:val="22"/>
        </w:rPr>
      </w:pPr>
      <w:r w:rsidRPr="00C31A65">
        <w:rPr>
          <w:noProof/>
          <w:sz w:val="22"/>
        </w:rPr>
        <w:t>“</w:t>
      </w:r>
      <w:r w:rsidR="000B3129" w:rsidRPr="00C31A65">
        <w:rPr>
          <w:noProof/>
          <w:sz w:val="22"/>
        </w:rPr>
        <w:t>complex ideas communicated with clarity, precision and efficiency</w:t>
      </w:r>
    </w:p>
    <w:p w:rsidR="000B3129" w:rsidRPr="00C31A65" w:rsidRDefault="00303838" w:rsidP="00C31A65">
      <w:pPr>
        <w:pStyle w:val="ListParagraph"/>
        <w:numPr>
          <w:ilvl w:val="0"/>
          <w:numId w:val="8"/>
        </w:numPr>
        <w:spacing w:before="120" w:line="288" w:lineRule="auto"/>
        <w:ind w:right="1584"/>
        <w:rPr>
          <w:noProof/>
          <w:sz w:val="22"/>
        </w:rPr>
      </w:pPr>
      <w:r w:rsidRPr="00C31A65">
        <w:rPr>
          <w:noProof/>
          <w:sz w:val="22"/>
        </w:rPr>
        <w:t>“</w:t>
      </w:r>
      <w:r w:rsidR="000B3129" w:rsidRPr="00C31A65">
        <w:rPr>
          <w:noProof/>
          <w:sz w:val="22"/>
        </w:rPr>
        <w:t>the greatest number of ideas in the shortest time with the least ink in the smallest space.</w:t>
      </w:r>
    </w:p>
    <w:p w:rsidR="00303838" w:rsidRPr="00C31A65" w:rsidRDefault="00303838" w:rsidP="00303838">
      <w:pPr>
        <w:spacing w:before="180" w:line="288" w:lineRule="auto"/>
        <w:ind w:right="1584"/>
        <w:rPr>
          <w:noProof/>
          <w:sz w:val="22"/>
        </w:rPr>
      </w:pPr>
      <w:r w:rsidRPr="00C31A65">
        <w:rPr>
          <w:noProof/>
          <w:sz w:val="22"/>
        </w:rPr>
        <w:t>Also:</w:t>
      </w:r>
    </w:p>
    <w:p w:rsidR="00303838" w:rsidRPr="00C31A65" w:rsidRDefault="00303838" w:rsidP="00C31A65">
      <w:pPr>
        <w:pStyle w:val="ListParagraph"/>
        <w:numPr>
          <w:ilvl w:val="0"/>
          <w:numId w:val="8"/>
        </w:numPr>
        <w:spacing w:before="120" w:line="288" w:lineRule="auto"/>
        <w:ind w:right="1584"/>
        <w:rPr>
          <w:noProof/>
          <w:sz w:val="22"/>
        </w:rPr>
      </w:pPr>
      <w:r w:rsidRPr="00C31A65">
        <w:rPr>
          <w:noProof/>
          <w:sz w:val="22"/>
        </w:rPr>
        <w:t xml:space="preserve">Tables (and charts) should be self-explanatory. </w:t>
      </w:r>
    </w:p>
    <w:p w:rsidR="00303838" w:rsidRPr="00C31A65" w:rsidRDefault="00303838" w:rsidP="00C31A65">
      <w:pPr>
        <w:pStyle w:val="ListParagraph"/>
        <w:numPr>
          <w:ilvl w:val="0"/>
          <w:numId w:val="8"/>
        </w:numPr>
        <w:spacing w:before="120" w:line="288" w:lineRule="auto"/>
        <w:ind w:right="1584"/>
        <w:rPr>
          <w:noProof/>
          <w:sz w:val="22"/>
        </w:rPr>
      </w:pPr>
      <w:r w:rsidRPr="00C31A65">
        <w:rPr>
          <w:noProof/>
          <w:sz w:val="22"/>
        </w:rPr>
        <w:t>There is no reason why the font in a chart or table should be larger than that used in the text.</w:t>
      </w:r>
    </w:p>
    <w:p w:rsidR="00C31A65" w:rsidRPr="00C31A65" w:rsidRDefault="00C31A65" w:rsidP="00C31A65">
      <w:pPr>
        <w:pStyle w:val="ListParagraph"/>
        <w:numPr>
          <w:ilvl w:val="0"/>
          <w:numId w:val="8"/>
        </w:numPr>
        <w:spacing w:before="120" w:line="288" w:lineRule="auto"/>
        <w:ind w:right="1584"/>
        <w:rPr>
          <w:noProof/>
          <w:sz w:val="22"/>
        </w:rPr>
      </w:pPr>
      <w:r w:rsidRPr="00C31A65">
        <w:rPr>
          <w:noProof/>
          <w:sz w:val="22"/>
        </w:rPr>
        <w:t>Use titles, headings, notes and legends to precisely</w:t>
      </w:r>
      <w:r w:rsidR="00402F18">
        <w:rPr>
          <w:noProof/>
          <w:sz w:val="22"/>
        </w:rPr>
        <w:t xml:space="preserve"> (but efficiently)</w:t>
      </w:r>
      <w:r w:rsidRPr="00C31A65">
        <w:rPr>
          <w:noProof/>
          <w:sz w:val="22"/>
        </w:rPr>
        <w:t xml:space="preserve"> define what each datapoint means.</w:t>
      </w:r>
    </w:p>
    <w:p w:rsidR="000B3129" w:rsidRPr="00C31A65" w:rsidRDefault="000B3129" w:rsidP="0066451B">
      <w:pPr>
        <w:spacing w:before="180" w:line="288" w:lineRule="auto"/>
        <w:ind w:right="1584"/>
        <w:rPr>
          <w:noProof/>
          <w:sz w:val="22"/>
        </w:rPr>
      </w:pPr>
      <w:r w:rsidRPr="00C31A65">
        <w:rPr>
          <w:noProof/>
          <w:sz w:val="22"/>
        </w:rPr>
        <w:t>Tabular Display:</w:t>
      </w:r>
    </w:p>
    <w:p w:rsidR="000B3129" w:rsidRPr="00C31A65" w:rsidRDefault="000B3129" w:rsidP="00C31A65">
      <w:pPr>
        <w:pStyle w:val="ListParagraph"/>
        <w:numPr>
          <w:ilvl w:val="0"/>
          <w:numId w:val="8"/>
        </w:numPr>
        <w:spacing w:before="120" w:line="288" w:lineRule="auto"/>
        <w:ind w:right="1584"/>
        <w:rPr>
          <w:noProof/>
          <w:sz w:val="22"/>
        </w:rPr>
      </w:pPr>
      <w:r w:rsidRPr="00C31A65">
        <w:rPr>
          <w:noProof/>
          <w:sz w:val="22"/>
        </w:rPr>
        <w:t>Sort data on the most meani</w:t>
      </w:r>
      <w:r w:rsidR="005700DA" w:rsidRPr="00C31A65">
        <w:rPr>
          <w:noProof/>
          <w:sz w:val="22"/>
        </w:rPr>
        <w:t>n</w:t>
      </w:r>
      <w:r w:rsidRPr="00C31A65">
        <w:rPr>
          <w:noProof/>
          <w:sz w:val="22"/>
        </w:rPr>
        <w:t>gful vari</w:t>
      </w:r>
      <w:r w:rsidR="005700DA" w:rsidRPr="00C31A65">
        <w:rPr>
          <w:noProof/>
          <w:sz w:val="22"/>
        </w:rPr>
        <w:t>a</w:t>
      </w:r>
      <w:r w:rsidRPr="00C31A65">
        <w:rPr>
          <w:noProof/>
          <w:sz w:val="22"/>
        </w:rPr>
        <w:t>ble, never sort a table alphabetically.</w:t>
      </w:r>
    </w:p>
    <w:p w:rsidR="000B3129" w:rsidRPr="00C31A65" w:rsidRDefault="000B3129" w:rsidP="00C31A65">
      <w:pPr>
        <w:pStyle w:val="ListParagraph"/>
        <w:numPr>
          <w:ilvl w:val="0"/>
          <w:numId w:val="8"/>
        </w:numPr>
        <w:spacing w:before="120" w:line="288" w:lineRule="auto"/>
        <w:ind w:right="1584"/>
        <w:rPr>
          <w:noProof/>
          <w:sz w:val="22"/>
        </w:rPr>
      </w:pPr>
      <w:r w:rsidRPr="00C31A65">
        <w:rPr>
          <w:noProof/>
          <w:sz w:val="22"/>
        </w:rPr>
        <w:t>Round numbers off to two or three significant digits</w:t>
      </w:r>
      <w:r w:rsidR="0066451B" w:rsidRPr="00C31A65">
        <w:rPr>
          <w:noProof/>
          <w:sz w:val="22"/>
        </w:rPr>
        <w:t xml:space="preserve"> and to thousands or millions as is appropriate</w:t>
      </w:r>
      <w:r w:rsidRPr="00C31A65">
        <w:rPr>
          <w:noProof/>
          <w:sz w:val="22"/>
        </w:rPr>
        <w:t>. No correlation coe</w:t>
      </w:r>
      <w:r w:rsidR="005700DA" w:rsidRPr="00C31A65">
        <w:rPr>
          <w:noProof/>
          <w:sz w:val="22"/>
        </w:rPr>
        <w:t>f</w:t>
      </w:r>
      <w:r w:rsidRPr="00C31A65">
        <w:rPr>
          <w:noProof/>
          <w:sz w:val="22"/>
        </w:rPr>
        <w:t>ficient needs three decimal places.</w:t>
      </w:r>
    </w:p>
    <w:p w:rsidR="000B3129" w:rsidRPr="00C31A65" w:rsidRDefault="000B3129" w:rsidP="00C31A65">
      <w:pPr>
        <w:pStyle w:val="ListParagraph"/>
        <w:numPr>
          <w:ilvl w:val="0"/>
          <w:numId w:val="8"/>
        </w:numPr>
        <w:spacing w:before="120" w:line="288" w:lineRule="auto"/>
        <w:ind w:right="1584"/>
        <w:rPr>
          <w:noProof/>
          <w:sz w:val="22"/>
        </w:rPr>
      </w:pPr>
      <w:r w:rsidRPr="00C31A65">
        <w:rPr>
          <w:noProof/>
          <w:sz w:val="22"/>
        </w:rPr>
        <w:t>Better if variables go down the columns rather than across the rows.</w:t>
      </w:r>
    </w:p>
    <w:p w:rsidR="000B3129" w:rsidRDefault="000B3129" w:rsidP="00C31A65">
      <w:pPr>
        <w:pStyle w:val="ListParagraph"/>
        <w:numPr>
          <w:ilvl w:val="0"/>
          <w:numId w:val="8"/>
        </w:numPr>
        <w:spacing w:before="120" w:line="288" w:lineRule="auto"/>
        <w:ind w:right="1584"/>
        <w:rPr>
          <w:noProof/>
          <w:sz w:val="22"/>
        </w:rPr>
      </w:pPr>
      <w:r w:rsidRPr="00C31A65">
        <w:rPr>
          <w:noProof/>
          <w:sz w:val="22"/>
        </w:rPr>
        <w:t>Time goes left to right across the column headings.</w:t>
      </w:r>
      <w:r w:rsidR="00303838" w:rsidRPr="00C31A65">
        <w:rPr>
          <w:noProof/>
          <w:sz w:val="22"/>
        </w:rPr>
        <w:t xml:space="preserve">  Top to bottom down the rows.</w:t>
      </w:r>
    </w:p>
    <w:p w:rsidR="00C31A65" w:rsidRPr="00C31A65" w:rsidRDefault="00C31A65" w:rsidP="00C31A65">
      <w:pPr>
        <w:pStyle w:val="ListParagraph"/>
        <w:numPr>
          <w:ilvl w:val="0"/>
          <w:numId w:val="8"/>
        </w:numPr>
        <w:spacing w:before="120" w:line="288" w:lineRule="auto"/>
        <w:ind w:right="1584"/>
        <w:rPr>
          <w:noProof/>
          <w:sz w:val="22"/>
        </w:rPr>
      </w:pPr>
      <w:r>
        <w:rPr>
          <w:noProof/>
          <w:sz w:val="22"/>
        </w:rPr>
        <w:t>Horizontal lines, yes; Vertical lines, no.</w:t>
      </w:r>
    </w:p>
    <w:p w:rsidR="000B3129" w:rsidRPr="00C31A65" w:rsidRDefault="000B3129" w:rsidP="0066451B">
      <w:pPr>
        <w:spacing w:before="180" w:line="288" w:lineRule="auto"/>
        <w:ind w:right="1584"/>
        <w:rPr>
          <w:noProof/>
          <w:sz w:val="22"/>
        </w:rPr>
      </w:pPr>
      <w:r w:rsidRPr="00C31A65">
        <w:rPr>
          <w:noProof/>
          <w:sz w:val="22"/>
        </w:rPr>
        <w:t>Graphical Display: General</w:t>
      </w:r>
    </w:p>
    <w:p w:rsidR="00303838" w:rsidRPr="00C31A65" w:rsidRDefault="00303838" w:rsidP="00C31A65">
      <w:pPr>
        <w:pStyle w:val="ListParagraph"/>
        <w:numPr>
          <w:ilvl w:val="0"/>
          <w:numId w:val="10"/>
        </w:numPr>
        <w:spacing w:before="120" w:line="288" w:lineRule="auto"/>
        <w:ind w:right="1584"/>
        <w:rPr>
          <w:noProof/>
          <w:sz w:val="22"/>
        </w:rPr>
      </w:pPr>
      <w:r w:rsidRPr="00C31A65">
        <w:rPr>
          <w:noProof/>
          <w:sz w:val="22"/>
        </w:rPr>
        <w:t>Show the data!</w:t>
      </w:r>
    </w:p>
    <w:p w:rsidR="000B3129" w:rsidRPr="00C31A65" w:rsidRDefault="000B3129" w:rsidP="00C31A65">
      <w:pPr>
        <w:pStyle w:val="ListParagraph"/>
        <w:numPr>
          <w:ilvl w:val="0"/>
          <w:numId w:val="10"/>
        </w:numPr>
        <w:spacing w:before="120" w:line="288" w:lineRule="auto"/>
        <w:ind w:right="1584"/>
        <w:rPr>
          <w:noProof/>
          <w:sz w:val="22"/>
        </w:rPr>
      </w:pPr>
      <w:r w:rsidRPr="00C31A65">
        <w:rPr>
          <w:noProof/>
          <w:sz w:val="22"/>
        </w:rPr>
        <w:t>Minimize the ink to data ratio</w:t>
      </w:r>
    </w:p>
    <w:p w:rsidR="000B3129" w:rsidRPr="00C31A65" w:rsidRDefault="000B3129" w:rsidP="00C31A65">
      <w:pPr>
        <w:pStyle w:val="ListParagraph"/>
        <w:numPr>
          <w:ilvl w:val="2"/>
          <w:numId w:val="10"/>
        </w:numPr>
        <w:spacing w:before="120" w:line="288" w:lineRule="auto"/>
        <w:ind w:right="1584"/>
        <w:rPr>
          <w:noProof/>
          <w:sz w:val="22"/>
        </w:rPr>
      </w:pPr>
      <w:r w:rsidRPr="00C31A65">
        <w:rPr>
          <w:noProof/>
          <w:sz w:val="22"/>
        </w:rPr>
        <w:t>Avoid ChartJunk</w:t>
      </w:r>
    </w:p>
    <w:p w:rsidR="000B3129" w:rsidRPr="00C31A65" w:rsidRDefault="000B3129" w:rsidP="00C31A65">
      <w:pPr>
        <w:pStyle w:val="ListParagraph"/>
        <w:numPr>
          <w:ilvl w:val="2"/>
          <w:numId w:val="10"/>
        </w:numPr>
        <w:spacing w:before="120" w:line="288" w:lineRule="auto"/>
        <w:ind w:right="1584"/>
        <w:rPr>
          <w:noProof/>
          <w:sz w:val="22"/>
        </w:rPr>
      </w:pPr>
      <w:r w:rsidRPr="00C31A65">
        <w:rPr>
          <w:noProof/>
          <w:sz w:val="22"/>
        </w:rPr>
        <w:t>Never use 3-D displays</w:t>
      </w:r>
    </w:p>
    <w:p w:rsidR="00C92C25" w:rsidRPr="00C31A65" w:rsidRDefault="00C92C25" w:rsidP="00C31A65">
      <w:pPr>
        <w:pStyle w:val="ListParagraph"/>
        <w:numPr>
          <w:ilvl w:val="2"/>
          <w:numId w:val="10"/>
        </w:numPr>
        <w:spacing w:before="120" w:line="288" w:lineRule="auto"/>
        <w:ind w:right="1584"/>
        <w:rPr>
          <w:noProof/>
          <w:sz w:val="22"/>
        </w:rPr>
      </w:pPr>
      <w:r w:rsidRPr="00C31A65">
        <w:rPr>
          <w:noProof/>
          <w:sz w:val="22"/>
        </w:rPr>
        <w:t>Minimize gridlines</w:t>
      </w:r>
    </w:p>
    <w:p w:rsidR="000B3129" w:rsidRPr="00C31A65" w:rsidRDefault="00F9793D" w:rsidP="00C31A65">
      <w:pPr>
        <w:pStyle w:val="ListParagraph"/>
        <w:numPr>
          <w:ilvl w:val="2"/>
          <w:numId w:val="10"/>
        </w:numPr>
        <w:spacing w:before="120" w:line="288" w:lineRule="auto"/>
        <w:ind w:right="1584"/>
        <w:rPr>
          <w:noProof/>
          <w:sz w:val="22"/>
        </w:rPr>
      </w:pPr>
      <w:r w:rsidRPr="00C31A65">
        <w:rPr>
          <w:noProof/>
          <w:sz w:val="22"/>
        </w:rPr>
        <w:t>Eliminate chart and plot</w:t>
      </w:r>
      <w:r w:rsidR="008234BA" w:rsidRPr="00C31A65">
        <w:rPr>
          <w:noProof/>
          <w:sz w:val="22"/>
        </w:rPr>
        <w:t>-</w:t>
      </w:r>
      <w:r w:rsidRPr="00C31A65">
        <w:rPr>
          <w:noProof/>
          <w:sz w:val="22"/>
        </w:rPr>
        <w:t>area borders</w:t>
      </w:r>
    </w:p>
    <w:p w:rsidR="00C92C25" w:rsidRPr="00C31A65" w:rsidRDefault="00C92C25" w:rsidP="0066451B">
      <w:pPr>
        <w:pStyle w:val="ListParagraph"/>
        <w:numPr>
          <w:ilvl w:val="0"/>
          <w:numId w:val="8"/>
        </w:numPr>
        <w:spacing w:before="180" w:line="288" w:lineRule="auto"/>
        <w:ind w:right="1584"/>
        <w:rPr>
          <w:noProof/>
          <w:sz w:val="22"/>
        </w:rPr>
      </w:pPr>
      <w:r w:rsidRPr="00C31A65">
        <w:rPr>
          <w:noProof/>
          <w:sz w:val="22"/>
        </w:rPr>
        <w:t>Sort the data on the most significant variable</w:t>
      </w:r>
      <w:r w:rsidR="005700DA" w:rsidRPr="00C31A65">
        <w:rPr>
          <w:noProof/>
          <w:sz w:val="22"/>
        </w:rPr>
        <w:t>.</w:t>
      </w:r>
    </w:p>
    <w:p w:rsidR="000B3129" w:rsidRPr="00C31A65" w:rsidRDefault="000B3129" w:rsidP="0066451B">
      <w:pPr>
        <w:pStyle w:val="ListParagraph"/>
        <w:numPr>
          <w:ilvl w:val="0"/>
          <w:numId w:val="8"/>
        </w:numPr>
        <w:spacing w:before="180" w:line="288" w:lineRule="auto"/>
        <w:ind w:right="1584"/>
        <w:rPr>
          <w:noProof/>
          <w:sz w:val="22"/>
        </w:rPr>
      </w:pPr>
      <w:r w:rsidRPr="00C31A65">
        <w:rPr>
          <w:noProof/>
          <w:sz w:val="22"/>
        </w:rPr>
        <w:t>Avoid data distortion</w:t>
      </w:r>
      <w:r w:rsidR="005700DA" w:rsidRPr="00C31A65">
        <w:rPr>
          <w:noProof/>
          <w:sz w:val="22"/>
        </w:rPr>
        <w:t>.</w:t>
      </w:r>
    </w:p>
    <w:p w:rsidR="000B3129" w:rsidRPr="00C31A65" w:rsidRDefault="000B3129" w:rsidP="0066451B">
      <w:pPr>
        <w:pStyle w:val="ListParagraph"/>
        <w:numPr>
          <w:ilvl w:val="0"/>
          <w:numId w:val="8"/>
        </w:numPr>
        <w:spacing w:before="180" w:line="288" w:lineRule="auto"/>
        <w:ind w:right="1584"/>
        <w:rPr>
          <w:noProof/>
          <w:sz w:val="22"/>
        </w:rPr>
      </w:pPr>
      <w:r w:rsidRPr="00C31A65">
        <w:rPr>
          <w:noProof/>
          <w:sz w:val="22"/>
        </w:rPr>
        <w:t>Multivariate displays are better than univ</w:t>
      </w:r>
      <w:r w:rsidR="005700DA" w:rsidRPr="00C31A65">
        <w:rPr>
          <w:noProof/>
          <w:sz w:val="22"/>
        </w:rPr>
        <w:t>a</w:t>
      </w:r>
      <w:r w:rsidRPr="00C31A65">
        <w:rPr>
          <w:noProof/>
          <w:sz w:val="22"/>
        </w:rPr>
        <w:t>riate displays</w:t>
      </w:r>
      <w:r w:rsidR="00C92C25" w:rsidRPr="00C31A65">
        <w:rPr>
          <w:noProof/>
          <w:sz w:val="22"/>
        </w:rPr>
        <w:t xml:space="preserve">. </w:t>
      </w:r>
    </w:p>
    <w:p w:rsidR="00C92C25" w:rsidRPr="00C31A65" w:rsidRDefault="00C92C25" w:rsidP="0066451B">
      <w:pPr>
        <w:pStyle w:val="ListParagraph"/>
        <w:numPr>
          <w:ilvl w:val="0"/>
          <w:numId w:val="8"/>
        </w:numPr>
        <w:spacing w:before="180" w:line="288" w:lineRule="auto"/>
        <w:ind w:right="1584"/>
        <w:rPr>
          <w:noProof/>
          <w:sz w:val="22"/>
        </w:rPr>
      </w:pPr>
      <w:r w:rsidRPr="00C31A65">
        <w:rPr>
          <w:noProof/>
          <w:sz w:val="22"/>
        </w:rPr>
        <w:t>Highlight comparisons; Avoid comparing data across two different charts</w:t>
      </w:r>
      <w:r w:rsidR="005700DA" w:rsidRPr="00C31A65">
        <w:rPr>
          <w:noProof/>
          <w:sz w:val="22"/>
        </w:rPr>
        <w:t>.</w:t>
      </w:r>
    </w:p>
    <w:p w:rsidR="00C31A65" w:rsidRPr="00C31A65" w:rsidRDefault="00C31A65" w:rsidP="0066451B">
      <w:pPr>
        <w:pStyle w:val="ListParagraph"/>
        <w:numPr>
          <w:ilvl w:val="0"/>
          <w:numId w:val="8"/>
        </w:numPr>
        <w:spacing w:before="180" w:line="288" w:lineRule="auto"/>
        <w:ind w:right="1584"/>
        <w:rPr>
          <w:noProof/>
          <w:sz w:val="22"/>
        </w:rPr>
      </w:pPr>
      <w:r w:rsidRPr="00C31A65">
        <w:rPr>
          <w:noProof/>
          <w:sz w:val="22"/>
        </w:rPr>
        <w:t>Four or five axis tick mark labels are enough.</w:t>
      </w:r>
    </w:p>
    <w:p w:rsidR="000B3129" w:rsidRPr="00C31A65" w:rsidRDefault="000B3129" w:rsidP="0066451B">
      <w:pPr>
        <w:spacing w:before="180" w:line="288" w:lineRule="auto"/>
        <w:ind w:right="1584"/>
        <w:rPr>
          <w:noProof/>
          <w:sz w:val="22"/>
        </w:rPr>
      </w:pPr>
      <w:r w:rsidRPr="00C31A65">
        <w:rPr>
          <w:noProof/>
          <w:sz w:val="22"/>
        </w:rPr>
        <w:t>Pie Chart</w:t>
      </w:r>
      <w:r w:rsidR="00C92C25" w:rsidRPr="00C31A65">
        <w:rPr>
          <w:noProof/>
          <w:sz w:val="22"/>
        </w:rPr>
        <w:t>s</w:t>
      </w:r>
    </w:p>
    <w:p w:rsidR="000B3129" w:rsidRPr="00C31A65" w:rsidRDefault="000B3129" w:rsidP="00EF167D">
      <w:pPr>
        <w:pStyle w:val="ListParagraph"/>
        <w:numPr>
          <w:ilvl w:val="0"/>
          <w:numId w:val="8"/>
        </w:numPr>
        <w:spacing w:before="120" w:line="288" w:lineRule="auto"/>
        <w:ind w:right="1584"/>
        <w:rPr>
          <w:noProof/>
          <w:sz w:val="22"/>
        </w:rPr>
      </w:pPr>
      <w:r w:rsidRPr="00C31A65">
        <w:rPr>
          <w:noProof/>
          <w:sz w:val="22"/>
        </w:rPr>
        <w:t>Don’t use them!</w:t>
      </w:r>
    </w:p>
    <w:p w:rsidR="00C92C25" w:rsidRPr="00C31A65" w:rsidRDefault="00C92C25" w:rsidP="00EF167D">
      <w:pPr>
        <w:pStyle w:val="ListParagraph"/>
        <w:numPr>
          <w:ilvl w:val="0"/>
          <w:numId w:val="8"/>
        </w:numPr>
        <w:spacing w:before="120" w:line="288" w:lineRule="auto"/>
        <w:ind w:right="1584"/>
        <w:rPr>
          <w:noProof/>
          <w:sz w:val="22"/>
        </w:rPr>
      </w:pPr>
      <w:r w:rsidRPr="00C31A65">
        <w:rPr>
          <w:noProof/>
          <w:sz w:val="22"/>
        </w:rPr>
        <w:t>Only use pie charts for numbers that add up to a meaningful total</w:t>
      </w:r>
      <w:r w:rsidR="0066451B" w:rsidRPr="00C31A65">
        <w:rPr>
          <w:noProof/>
          <w:sz w:val="22"/>
        </w:rPr>
        <w:t>.</w:t>
      </w:r>
    </w:p>
    <w:p w:rsidR="00C92C25" w:rsidRPr="00C31A65" w:rsidRDefault="00C92C25" w:rsidP="00EF167D">
      <w:pPr>
        <w:pStyle w:val="ListParagraph"/>
        <w:numPr>
          <w:ilvl w:val="0"/>
          <w:numId w:val="8"/>
        </w:numPr>
        <w:spacing w:before="120" w:line="288" w:lineRule="auto"/>
        <w:ind w:right="1584"/>
        <w:rPr>
          <w:noProof/>
          <w:sz w:val="22"/>
        </w:rPr>
      </w:pPr>
      <w:r w:rsidRPr="00C31A65">
        <w:rPr>
          <w:noProof/>
          <w:sz w:val="22"/>
        </w:rPr>
        <w:t>Two</w:t>
      </w:r>
      <w:r w:rsidR="000B3129" w:rsidRPr="00C31A65">
        <w:rPr>
          <w:noProof/>
          <w:sz w:val="22"/>
        </w:rPr>
        <w:t xml:space="preserve"> Pie Charts </w:t>
      </w:r>
      <w:r w:rsidR="00AA54B5">
        <w:rPr>
          <w:noProof/>
          <w:sz w:val="22"/>
        </w:rPr>
        <w:t>are</w:t>
      </w:r>
      <w:r w:rsidR="000B3129" w:rsidRPr="00C31A65">
        <w:rPr>
          <w:noProof/>
          <w:sz w:val="22"/>
        </w:rPr>
        <w:t xml:space="preserve"> worse than</w:t>
      </w:r>
      <w:r w:rsidRPr="00C31A65">
        <w:rPr>
          <w:noProof/>
          <w:sz w:val="22"/>
        </w:rPr>
        <w:t xml:space="preserve"> one.</w:t>
      </w:r>
    </w:p>
    <w:p w:rsidR="00C92C25" w:rsidRPr="00C31A65" w:rsidRDefault="00C92C25" w:rsidP="00EF167D">
      <w:pPr>
        <w:pStyle w:val="ListParagraph"/>
        <w:numPr>
          <w:ilvl w:val="0"/>
          <w:numId w:val="8"/>
        </w:numPr>
        <w:spacing w:before="120" w:line="288" w:lineRule="auto"/>
        <w:ind w:right="1584"/>
        <w:rPr>
          <w:noProof/>
          <w:sz w:val="22"/>
        </w:rPr>
      </w:pPr>
      <w:r w:rsidRPr="00C31A65">
        <w:rPr>
          <w:noProof/>
          <w:sz w:val="22"/>
        </w:rPr>
        <w:t xml:space="preserve">Two 3-D Pie Charts are </w:t>
      </w:r>
      <w:r w:rsidR="008234BA" w:rsidRPr="00C31A65">
        <w:rPr>
          <w:noProof/>
          <w:sz w:val="22"/>
        </w:rPr>
        <w:t>even worse</w:t>
      </w:r>
      <w:r w:rsidRPr="00C31A65">
        <w:rPr>
          <w:noProof/>
          <w:sz w:val="22"/>
        </w:rPr>
        <w:t xml:space="preserve">. </w:t>
      </w:r>
    </w:p>
    <w:p w:rsidR="00C31A65" w:rsidRDefault="00C92C25" w:rsidP="00EF167D">
      <w:pPr>
        <w:pStyle w:val="ListParagraph"/>
        <w:numPr>
          <w:ilvl w:val="0"/>
          <w:numId w:val="8"/>
        </w:numPr>
        <w:spacing w:before="120" w:line="288" w:lineRule="auto"/>
        <w:ind w:right="1584"/>
        <w:rPr>
          <w:noProof/>
          <w:sz w:val="22"/>
        </w:rPr>
      </w:pPr>
      <w:r w:rsidRPr="00C31A65">
        <w:rPr>
          <w:noProof/>
          <w:sz w:val="22"/>
        </w:rPr>
        <w:t>Cone, pyramid,</w:t>
      </w:r>
      <w:r w:rsidR="00402F18">
        <w:rPr>
          <w:noProof/>
          <w:sz w:val="22"/>
        </w:rPr>
        <w:t xml:space="preserve"> radar </w:t>
      </w:r>
      <w:r w:rsidRPr="00C31A65">
        <w:rPr>
          <w:noProof/>
          <w:sz w:val="22"/>
        </w:rPr>
        <w:t xml:space="preserve">and donut charts </w:t>
      </w:r>
      <w:r w:rsidR="00402F18">
        <w:rPr>
          <w:noProof/>
          <w:sz w:val="22"/>
        </w:rPr>
        <w:t xml:space="preserve">are </w:t>
      </w:r>
      <w:r w:rsidR="00D31B74">
        <w:rPr>
          <w:noProof/>
          <w:sz w:val="22"/>
        </w:rPr>
        <w:t xml:space="preserve">worse than </w:t>
      </w:r>
      <w:r w:rsidR="008234BA" w:rsidRPr="00C31A65">
        <w:rPr>
          <w:noProof/>
          <w:sz w:val="22"/>
        </w:rPr>
        <w:t>useless.</w:t>
      </w:r>
      <w:r w:rsidR="00303838" w:rsidRPr="00C31A65">
        <w:rPr>
          <w:noProof/>
          <w:sz w:val="22"/>
        </w:rPr>
        <w:br/>
      </w:r>
    </w:p>
    <w:p w:rsidR="00C31A65" w:rsidRDefault="00C31A65">
      <w:pPr>
        <w:rPr>
          <w:noProof/>
          <w:sz w:val="22"/>
        </w:rPr>
      </w:pPr>
      <w:r>
        <w:rPr>
          <w:noProof/>
          <w:sz w:val="22"/>
        </w:rPr>
        <w:br w:type="page"/>
      </w:r>
    </w:p>
    <w:p w:rsidR="00C31A65" w:rsidRDefault="00C31A65" w:rsidP="0066451B">
      <w:pPr>
        <w:spacing w:before="180" w:line="288" w:lineRule="auto"/>
        <w:ind w:right="1584"/>
        <w:rPr>
          <w:noProof/>
          <w:sz w:val="22"/>
        </w:rPr>
      </w:pPr>
    </w:p>
    <w:p w:rsidR="00C92C25" w:rsidRPr="00C31A65" w:rsidRDefault="00C92C25" w:rsidP="0066451B">
      <w:pPr>
        <w:spacing w:before="180" w:line="288" w:lineRule="auto"/>
        <w:ind w:right="1584"/>
        <w:rPr>
          <w:noProof/>
          <w:sz w:val="22"/>
        </w:rPr>
      </w:pPr>
      <w:r w:rsidRPr="00C31A65">
        <w:rPr>
          <w:noProof/>
          <w:sz w:val="22"/>
        </w:rPr>
        <w:t>Bar Charts</w:t>
      </w:r>
    </w:p>
    <w:p w:rsidR="00C92C25" w:rsidRPr="00C31A65" w:rsidRDefault="00C92C25" w:rsidP="00EF167D">
      <w:pPr>
        <w:pStyle w:val="ListParagraph"/>
        <w:numPr>
          <w:ilvl w:val="0"/>
          <w:numId w:val="11"/>
        </w:numPr>
        <w:spacing w:before="120" w:line="288" w:lineRule="auto"/>
        <w:ind w:right="1584"/>
        <w:rPr>
          <w:noProof/>
          <w:sz w:val="22"/>
        </w:rPr>
      </w:pPr>
      <w:r w:rsidRPr="00C31A65">
        <w:rPr>
          <w:noProof/>
          <w:sz w:val="22"/>
        </w:rPr>
        <w:t>Minimize legend space: place legends (if necessary) horizontally above</w:t>
      </w:r>
      <w:r w:rsidR="0066451B" w:rsidRPr="00C31A65">
        <w:rPr>
          <w:noProof/>
          <w:sz w:val="22"/>
        </w:rPr>
        <w:t xml:space="preserve">, </w:t>
      </w:r>
      <w:r w:rsidRPr="00C31A65">
        <w:rPr>
          <w:noProof/>
          <w:sz w:val="22"/>
        </w:rPr>
        <w:t>below or inside the plot area.</w:t>
      </w:r>
    </w:p>
    <w:p w:rsidR="00C92C25" w:rsidRPr="00C31A65" w:rsidRDefault="00C31A65" w:rsidP="00EF167D">
      <w:pPr>
        <w:pStyle w:val="ListParagraph"/>
        <w:numPr>
          <w:ilvl w:val="0"/>
          <w:numId w:val="11"/>
        </w:numPr>
        <w:spacing w:before="120" w:line="288" w:lineRule="auto"/>
        <w:ind w:right="1584"/>
        <w:rPr>
          <w:noProof/>
          <w:sz w:val="22"/>
        </w:rPr>
      </w:pPr>
      <w:r>
        <w:rPr>
          <w:noProof/>
          <w:sz w:val="22"/>
        </w:rPr>
        <w:t>It is usually best to a</w:t>
      </w:r>
      <w:r w:rsidR="0066451B" w:rsidRPr="00C31A65">
        <w:rPr>
          <w:noProof/>
          <w:sz w:val="22"/>
        </w:rPr>
        <w:t>rrange the data series</w:t>
      </w:r>
      <w:r w:rsidR="00C92C25" w:rsidRPr="00C31A65">
        <w:rPr>
          <w:noProof/>
          <w:sz w:val="22"/>
        </w:rPr>
        <w:t xml:space="preserve"> so that years are within group categories:</w:t>
      </w:r>
      <w:r w:rsidR="00C92C25" w:rsidRPr="00C31A65">
        <w:rPr>
          <w:noProof/>
          <w:sz w:val="22"/>
        </w:rPr>
        <w:br/>
      </w:r>
      <w:r w:rsidR="00D31B74">
        <w:rPr>
          <w:noProof/>
          <w:sz w:val="22"/>
        </w:rPr>
        <w:drawing>
          <wp:inline distT="0" distB="0" distL="0" distR="0">
            <wp:extent cx="2750820" cy="73152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750820" cy="731520"/>
                    </a:xfrm>
                    <a:prstGeom prst="rect">
                      <a:avLst/>
                    </a:prstGeom>
                    <a:noFill/>
                    <a:ln w="9525">
                      <a:noFill/>
                      <a:miter lim="800000"/>
                      <a:headEnd/>
                      <a:tailEnd/>
                    </a:ln>
                  </pic:spPr>
                </pic:pic>
              </a:graphicData>
            </a:graphic>
          </wp:inline>
        </w:drawing>
      </w:r>
    </w:p>
    <w:p w:rsidR="00C92C25" w:rsidRPr="00C31A65" w:rsidRDefault="0066451B" w:rsidP="00EF167D">
      <w:pPr>
        <w:pStyle w:val="ListParagraph"/>
        <w:numPr>
          <w:ilvl w:val="0"/>
          <w:numId w:val="11"/>
        </w:numPr>
        <w:spacing w:before="120" w:line="288" w:lineRule="auto"/>
        <w:ind w:right="1584"/>
        <w:rPr>
          <w:noProof/>
          <w:sz w:val="22"/>
        </w:rPr>
      </w:pPr>
      <w:r w:rsidRPr="00C31A65">
        <w:rPr>
          <w:noProof/>
          <w:sz w:val="22"/>
        </w:rPr>
        <w:t>Note: Excel allows for the X-axis as shown above, eliminating the need for a legend and different colors and shading for the data series.</w:t>
      </w:r>
    </w:p>
    <w:p w:rsidR="00303838" w:rsidRPr="00C31A65" w:rsidRDefault="00303838" w:rsidP="00EF167D">
      <w:pPr>
        <w:pStyle w:val="ListParagraph"/>
        <w:numPr>
          <w:ilvl w:val="0"/>
          <w:numId w:val="11"/>
        </w:numPr>
        <w:spacing w:before="120" w:line="288" w:lineRule="auto"/>
        <w:ind w:right="1584"/>
        <w:rPr>
          <w:noProof/>
          <w:sz w:val="22"/>
        </w:rPr>
      </w:pPr>
      <w:r w:rsidRPr="00C31A65">
        <w:rPr>
          <w:noProof/>
          <w:sz w:val="22"/>
        </w:rPr>
        <w:t>Use different shades before using different colors.</w:t>
      </w:r>
      <w:r w:rsidR="00C31A65">
        <w:rPr>
          <w:noProof/>
          <w:sz w:val="22"/>
        </w:rPr>
        <w:t xml:space="preserve"> Do not use borders on the bars.</w:t>
      </w:r>
    </w:p>
    <w:p w:rsidR="008234BA" w:rsidRDefault="008234BA" w:rsidP="00EF167D">
      <w:pPr>
        <w:pStyle w:val="ListParagraph"/>
        <w:numPr>
          <w:ilvl w:val="0"/>
          <w:numId w:val="11"/>
        </w:numPr>
        <w:spacing w:before="120" w:line="288" w:lineRule="auto"/>
        <w:ind w:right="1584"/>
        <w:rPr>
          <w:noProof/>
          <w:sz w:val="22"/>
        </w:rPr>
      </w:pPr>
      <w:r w:rsidRPr="00C31A65">
        <w:rPr>
          <w:noProof/>
          <w:sz w:val="22"/>
        </w:rPr>
        <w:t>With stacked bars, the most important category goes at the bottom.</w:t>
      </w:r>
    </w:p>
    <w:p w:rsidR="00EF167D" w:rsidRDefault="00EF167D" w:rsidP="00EF167D">
      <w:pPr>
        <w:pStyle w:val="ListParagraph"/>
        <w:numPr>
          <w:ilvl w:val="0"/>
          <w:numId w:val="11"/>
        </w:numPr>
        <w:spacing w:before="180" w:line="288" w:lineRule="auto"/>
        <w:ind w:right="1584"/>
        <w:rPr>
          <w:noProof/>
          <w:sz w:val="22"/>
        </w:rPr>
      </w:pPr>
      <w:r w:rsidRPr="00EF167D">
        <w:rPr>
          <w:noProof/>
          <w:sz w:val="22"/>
        </w:rPr>
        <w:t>With time series, bars</w:t>
      </w:r>
      <w:r>
        <w:rPr>
          <w:noProof/>
          <w:sz w:val="22"/>
        </w:rPr>
        <w:t xml:space="preserve"> (or, area charts)</w:t>
      </w:r>
      <w:r w:rsidRPr="00EF167D">
        <w:rPr>
          <w:noProof/>
          <w:sz w:val="22"/>
        </w:rPr>
        <w:t xml:space="preserve"> can be used to represent volumes</w:t>
      </w:r>
      <w:r>
        <w:rPr>
          <w:noProof/>
          <w:sz w:val="22"/>
        </w:rPr>
        <w:t xml:space="preserve"> or aggregate totals</w:t>
      </w:r>
      <w:r w:rsidRPr="00EF167D">
        <w:rPr>
          <w:noProof/>
          <w:sz w:val="22"/>
        </w:rPr>
        <w:t xml:space="preserve">; rates and averages </w:t>
      </w:r>
      <w:r>
        <w:rPr>
          <w:noProof/>
          <w:sz w:val="22"/>
        </w:rPr>
        <w:t>are best displayed with lines.</w:t>
      </w:r>
    </w:p>
    <w:p w:rsidR="00EF167D" w:rsidRPr="00EF167D" w:rsidRDefault="00EF167D" w:rsidP="00EF167D">
      <w:pPr>
        <w:pStyle w:val="ListParagraph"/>
        <w:numPr>
          <w:ilvl w:val="0"/>
          <w:numId w:val="11"/>
        </w:numPr>
        <w:spacing w:before="180" w:line="288" w:lineRule="auto"/>
        <w:ind w:right="1584"/>
        <w:rPr>
          <w:noProof/>
          <w:sz w:val="22"/>
        </w:rPr>
      </w:pPr>
      <w:r>
        <w:rPr>
          <w:noProof/>
          <w:sz w:val="22"/>
        </w:rPr>
        <w:t>Dot plots use less ink than bar charts.</w:t>
      </w:r>
    </w:p>
    <w:p w:rsidR="00C92C25" w:rsidRPr="00EF167D" w:rsidRDefault="00F9793D" w:rsidP="00EF167D">
      <w:pPr>
        <w:spacing w:before="180" w:line="288" w:lineRule="auto"/>
        <w:ind w:right="1584"/>
        <w:rPr>
          <w:noProof/>
          <w:sz w:val="22"/>
        </w:rPr>
      </w:pPr>
      <w:r w:rsidRPr="00EF167D">
        <w:rPr>
          <w:noProof/>
          <w:sz w:val="22"/>
        </w:rPr>
        <w:t xml:space="preserve">Time series </w:t>
      </w:r>
      <w:r w:rsidR="00EF167D" w:rsidRPr="00EF167D">
        <w:rPr>
          <w:noProof/>
          <w:sz w:val="22"/>
        </w:rPr>
        <w:t xml:space="preserve">(line) </w:t>
      </w:r>
      <w:r w:rsidRPr="00EF167D">
        <w:rPr>
          <w:noProof/>
          <w:sz w:val="22"/>
        </w:rPr>
        <w:t>charts</w:t>
      </w:r>
    </w:p>
    <w:p w:rsidR="00F9793D" w:rsidRPr="00C31A65" w:rsidRDefault="00F9793D" w:rsidP="00EF167D">
      <w:pPr>
        <w:pStyle w:val="ListParagraph"/>
        <w:numPr>
          <w:ilvl w:val="0"/>
          <w:numId w:val="13"/>
        </w:numPr>
        <w:spacing w:before="120" w:line="288" w:lineRule="auto"/>
        <w:ind w:right="1584"/>
        <w:rPr>
          <w:noProof/>
          <w:sz w:val="22"/>
        </w:rPr>
      </w:pPr>
      <w:r w:rsidRPr="00C31A65">
        <w:rPr>
          <w:noProof/>
          <w:sz w:val="22"/>
        </w:rPr>
        <w:t>Consider placing the Y-axis on the right</w:t>
      </w:r>
      <w:r w:rsidR="00EF167D">
        <w:rPr>
          <w:noProof/>
          <w:sz w:val="22"/>
        </w:rPr>
        <w:t>, the last datapoint is usually the most important</w:t>
      </w:r>
      <w:r w:rsidRPr="00C31A65">
        <w:rPr>
          <w:noProof/>
          <w:sz w:val="22"/>
        </w:rPr>
        <w:t>.</w:t>
      </w:r>
    </w:p>
    <w:p w:rsidR="00F9793D" w:rsidRPr="00C31A65" w:rsidRDefault="00F9793D" w:rsidP="00EF167D">
      <w:pPr>
        <w:pStyle w:val="ListParagraph"/>
        <w:numPr>
          <w:ilvl w:val="0"/>
          <w:numId w:val="13"/>
        </w:numPr>
        <w:spacing w:before="120" w:line="288" w:lineRule="auto"/>
        <w:ind w:right="1584"/>
        <w:rPr>
          <w:noProof/>
          <w:sz w:val="22"/>
        </w:rPr>
      </w:pPr>
      <w:r w:rsidRPr="00C31A65">
        <w:rPr>
          <w:noProof/>
          <w:sz w:val="22"/>
        </w:rPr>
        <w:t xml:space="preserve">Label the lines rather </w:t>
      </w:r>
      <w:r w:rsidR="00BD07AE">
        <w:rPr>
          <w:noProof/>
          <w:sz w:val="22"/>
        </w:rPr>
        <w:t xml:space="preserve">than </w:t>
      </w:r>
      <w:r w:rsidRPr="00C31A65">
        <w:rPr>
          <w:noProof/>
          <w:sz w:val="22"/>
        </w:rPr>
        <w:t>using legends.</w:t>
      </w:r>
    </w:p>
    <w:p w:rsidR="00F9793D" w:rsidRPr="00C31A65" w:rsidRDefault="00EF167D" w:rsidP="00EF167D">
      <w:pPr>
        <w:pStyle w:val="ListParagraph"/>
        <w:numPr>
          <w:ilvl w:val="0"/>
          <w:numId w:val="13"/>
        </w:numPr>
        <w:spacing w:before="120" w:line="288" w:lineRule="auto"/>
        <w:ind w:right="1584"/>
        <w:rPr>
          <w:noProof/>
          <w:sz w:val="22"/>
        </w:rPr>
      </w:pPr>
      <w:r>
        <w:rPr>
          <w:noProof/>
          <w:sz w:val="22"/>
        </w:rPr>
        <w:t>Avoid</w:t>
      </w:r>
      <w:r w:rsidR="00F9793D" w:rsidRPr="00C31A65">
        <w:rPr>
          <w:noProof/>
          <w:sz w:val="22"/>
        </w:rPr>
        <w:t xml:space="preserve"> the use of different dat</w:t>
      </w:r>
      <w:r w:rsidR="005700DA" w:rsidRPr="00C31A65">
        <w:rPr>
          <w:noProof/>
          <w:sz w:val="22"/>
        </w:rPr>
        <w:t>a</w:t>
      </w:r>
      <w:r w:rsidR="00F9793D" w:rsidRPr="00C31A65">
        <w:rPr>
          <w:noProof/>
          <w:sz w:val="22"/>
        </w:rPr>
        <w:t xml:space="preserve">point markers to distinguish lines. </w:t>
      </w:r>
      <w:r w:rsidR="00303838" w:rsidRPr="00C31A65">
        <w:rPr>
          <w:noProof/>
          <w:sz w:val="22"/>
        </w:rPr>
        <w:t xml:space="preserve">  Lines that do not overlap do not need unique colors, shades or markers.</w:t>
      </w:r>
    </w:p>
    <w:p w:rsidR="008234BA" w:rsidRPr="00C31A65" w:rsidRDefault="008234BA" w:rsidP="00EF167D">
      <w:pPr>
        <w:pStyle w:val="ListParagraph"/>
        <w:numPr>
          <w:ilvl w:val="0"/>
          <w:numId w:val="13"/>
        </w:numPr>
        <w:spacing w:before="120" w:line="288" w:lineRule="auto"/>
        <w:ind w:right="1584"/>
        <w:rPr>
          <w:noProof/>
          <w:sz w:val="22"/>
        </w:rPr>
      </w:pPr>
      <w:r w:rsidRPr="00C31A65">
        <w:rPr>
          <w:noProof/>
          <w:sz w:val="22"/>
        </w:rPr>
        <w:t>Beware of scaling distortion</w:t>
      </w:r>
      <w:r w:rsidR="0066451B" w:rsidRPr="00C31A65">
        <w:rPr>
          <w:noProof/>
          <w:sz w:val="22"/>
        </w:rPr>
        <w:t>.</w:t>
      </w:r>
    </w:p>
    <w:p w:rsidR="0066451B" w:rsidRPr="00C31A65" w:rsidRDefault="0066451B" w:rsidP="0066451B">
      <w:pPr>
        <w:spacing w:before="180" w:line="288" w:lineRule="auto"/>
        <w:ind w:right="1584"/>
        <w:rPr>
          <w:noProof/>
          <w:sz w:val="22"/>
        </w:rPr>
      </w:pPr>
      <w:r w:rsidRPr="00C31A65">
        <w:rPr>
          <w:noProof/>
          <w:sz w:val="22"/>
        </w:rPr>
        <w:t>Scatterplots</w:t>
      </w:r>
    </w:p>
    <w:p w:rsidR="0066451B" w:rsidRPr="00C31A65" w:rsidRDefault="0066451B" w:rsidP="00EF167D">
      <w:pPr>
        <w:pStyle w:val="ListParagraph"/>
        <w:numPr>
          <w:ilvl w:val="0"/>
          <w:numId w:val="14"/>
        </w:numPr>
        <w:spacing w:before="120" w:line="288" w:lineRule="auto"/>
        <w:ind w:right="1584"/>
        <w:rPr>
          <w:noProof/>
          <w:sz w:val="22"/>
        </w:rPr>
      </w:pPr>
      <w:r w:rsidRPr="00C31A65">
        <w:rPr>
          <w:noProof/>
          <w:sz w:val="22"/>
        </w:rPr>
        <w:t>Always have the dependent variable on the Y-axis.</w:t>
      </w:r>
    </w:p>
    <w:p w:rsidR="0066451B" w:rsidRPr="00C31A65" w:rsidRDefault="0066451B" w:rsidP="00EF167D">
      <w:pPr>
        <w:pStyle w:val="ListParagraph"/>
        <w:numPr>
          <w:ilvl w:val="0"/>
          <w:numId w:val="14"/>
        </w:numPr>
        <w:spacing w:before="120" w:line="288" w:lineRule="auto"/>
        <w:ind w:right="1584"/>
        <w:rPr>
          <w:noProof/>
          <w:sz w:val="22"/>
        </w:rPr>
      </w:pPr>
      <w:r w:rsidRPr="00C31A65">
        <w:rPr>
          <w:noProof/>
          <w:sz w:val="22"/>
        </w:rPr>
        <w:t>Maximize the plot area by adjusting the axes.</w:t>
      </w:r>
    </w:p>
    <w:p w:rsidR="0066451B" w:rsidRPr="00C31A65" w:rsidRDefault="0066451B" w:rsidP="00EF167D">
      <w:pPr>
        <w:pStyle w:val="ListParagraph"/>
        <w:numPr>
          <w:ilvl w:val="0"/>
          <w:numId w:val="14"/>
        </w:numPr>
        <w:spacing w:before="120" w:line="288" w:lineRule="auto"/>
        <w:ind w:right="1584"/>
        <w:rPr>
          <w:noProof/>
          <w:sz w:val="22"/>
        </w:rPr>
      </w:pPr>
      <w:r w:rsidRPr="00C31A65">
        <w:rPr>
          <w:noProof/>
          <w:sz w:val="22"/>
        </w:rPr>
        <w:t>Whenever possible, label the datapoints</w:t>
      </w:r>
      <w:r w:rsidR="00303838" w:rsidRPr="00C31A65">
        <w:rPr>
          <w:noProof/>
          <w:sz w:val="22"/>
        </w:rPr>
        <w:t xml:space="preserve"> rather than just using dots.</w:t>
      </w:r>
    </w:p>
    <w:p w:rsidR="0066451B" w:rsidRPr="00C31A65" w:rsidRDefault="0066451B" w:rsidP="0066451B">
      <w:pPr>
        <w:spacing w:before="180" w:line="288" w:lineRule="auto"/>
        <w:ind w:right="1584"/>
        <w:rPr>
          <w:noProof/>
          <w:sz w:val="22"/>
        </w:rPr>
      </w:pPr>
    </w:p>
    <w:p w:rsidR="00F9793D" w:rsidRPr="00C31A65" w:rsidRDefault="00F9793D" w:rsidP="008234BA">
      <w:pPr>
        <w:spacing w:before="120"/>
        <w:ind w:right="1584"/>
        <w:rPr>
          <w:noProof/>
          <w:sz w:val="22"/>
        </w:rPr>
      </w:pPr>
    </w:p>
    <w:p w:rsidR="00F9793D" w:rsidRPr="00C31A65" w:rsidRDefault="00F9793D" w:rsidP="000B3129">
      <w:pPr>
        <w:ind w:right="1584"/>
        <w:rPr>
          <w:noProof/>
          <w:sz w:val="22"/>
        </w:rPr>
      </w:pPr>
    </w:p>
    <w:p w:rsidR="00C92C25" w:rsidRDefault="00C92C25" w:rsidP="000B3129">
      <w:pPr>
        <w:ind w:right="1584"/>
        <w:rPr>
          <w:noProof/>
        </w:rPr>
      </w:pPr>
    </w:p>
    <w:p w:rsidR="00C92C25" w:rsidRDefault="00C92C25" w:rsidP="000B3129">
      <w:pPr>
        <w:ind w:right="1584"/>
        <w:rPr>
          <w:noProof/>
        </w:rPr>
      </w:pPr>
    </w:p>
    <w:p w:rsidR="00C92C25" w:rsidRDefault="00C92C25" w:rsidP="000B3129">
      <w:pPr>
        <w:ind w:right="1584"/>
        <w:rPr>
          <w:noProof/>
        </w:rPr>
      </w:pPr>
    </w:p>
    <w:p w:rsidR="002A6422" w:rsidRDefault="002A6422" w:rsidP="000B3129">
      <w:pPr>
        <w:ind w:right="1584"/>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 w:type="dxa"/>
        </w:tblCellMar>
        <w:tblLook w:val="04A0"/>
      </w:tblPr>
      <w:tblGrid>
        <w:gridCol w:w="7055"/>
        <w:gridCol w:w="2708"/>
      </w:tblGrid>
      <w:tr w:rsidR="00FE7615" w:rsidTr="006B42F1">
        <w:tc>
          <w:tcPr>
            <w:tcW w:w="7064" w:type="dxa"/>
          </w:tcPr>
          <w:p w:rsidR="00FE7615" w:rsidRDefault="002F5F83">
            <w:pPr>
              <w:rPr>
                <w:noProof/>
              </w:rPr>
            </w:pPr>
            <w:r w:rsidRPr="002F5F83">
              <w:rPr>
                <w:noProof/>
              </w:rPr>
              <w:lastRenderedPageBreak/>
              <w:drawing>
                <wp:inline distT="0" distB="0" distL="0" distR="0">
                  <wp:extent cx="4438650" cy="1981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3329" w:type="dxa"/>
          </w:tcPr>
          <w:p w:rsidR="00FE7615" w:rsidRPr="002F5F83" w:rsidRDefault="00984DCD">
            <w:pPr>
              <w:rPr>
                <w:rFonts w:asciiTheme="minorHAnsi" w:hAnsiTheme="minorHAnsi"/>
                <w:b/>
                <w:noProof/>
                <w:sz w:val="20"/>
                <w:szCs w:val="20"/>
              </w:rPr>
            </w:pPr>
            <w:r w:rsidRPr="002F5F83">
              <w:rPr>
                <w:rFonts w:asciiTheme="minorHAnsi" w:hAnsiTheme="minorHAnsi"/>
                <w:b/>
                <w:noProof/>
                <w:sz w:val="20"/>
                <w:szCs w:val="20"/>
              </w:rPr>
              <w:t>Cross-sectional  time-series bar chart</w:t>
            </w:r>
          </w:p>
          <w:p w:rsidR="00FE7615" w:rsidRPr="002F5F83" w:rsidRDefault="002A6422" w:rsidP="00984DCD">
            <w:pPr>
              <w:pStyle w:val="ListParagraph"/>
              <w:numPr>
                <w:ilvl w:val="0"/>
                <w:numId w:val="1"/>
              </w:numPr>
              <w:ind w:left="412"/>
              <w:rPr>
                <w:rFonts w:asciiTheme="minorHAnsi" w:hAnsiTheme="minorHAnsi"/>
                <w:noProof/>
                <w:sz w:val="20"/>
                <w:szCs w:val="20"/>
              </w:rPr>
            </w:pPr>
            <w:r>
              <w:rPr>
                <w:rFonts w:asciiTheme="minorHAnsi" w:hAnsiTheme="minorHAnsi"/>
                <w:noProof/>
                <w:sz w:val="20"/>
                <w:szCs w:val="20"/>
              </w:rPr>
              <w:t>E</w:t>
            </w:r>
            <w:r w:rsidR="00FE7615" w:rsidRPr="002F5F83">
              <w:rPr>
                <w:rFonts w:asciiTheme="minorHAnsi" w:hAnsiTheme="minorHAnsi"/>
                <w:noProof/>
                <w:sz w:val="20"/>
                <w:szCs w:val="20"/>
              </w:rPr>
              <w:t>ach year is a data series</w:t>
            </w:r>
          </w:p>
          <w:p w:rsidR="00FE7615" w:rsidRPr="002F5F83" w:rsidRDefault="00984DCD" w:rsidP="00984DCD">
            <w:pPr>
              <w:pStyle w:val="ListParagraph"/>
              <w:numPr>
                <w:ilvl w:val="0"/>
                <w:numId w:val="1"/>
              </w:numPr>
              <w:ind w:left="412"/>
              <w:rPr>
                <w:rFonts w:asciiTheme="minorHAnsi" w:hAnsiTheme="minorHAnsi"/>
                <w:noProof/>
                <w:sz w:val="20"/>
                <w:szCs w:val="20"/>
              </w:rPr>
            </w:pPr>
            <w:r w:rsidRPr="002F5F83">
              <w:rPr>
                <w:rFonts w:asciiTheme="minorHAnsi" w:hAnsiTheme="minorHAnsi"/>
                <w:noProof/>
                <w:sz w:val="20"/>
                <w:szCs w:val="20"/>
              </w:rPr>
              <w:t>Numbers are</w:t>
            </w:r>
            <w:r w:rsidR="00FE7615" w:rsidRPr="002F5F83">
              <w:rPr>
                <w:rFonts w:asciiTheme="minorHAnsi" w:hAnsiTheme="minorHAnsi"/>
                <w:noProof/>
                <w:sz w:val="20"/>
                <w:szCs w:val="20"/>
              </w:rPr>
              <w:t xml:space="preserve"> </w:t>
            </w:r>
            <w:r w:rsidR="006650EA">
              <w:rPr>
                <w:rFonts w:asciiTheme="minorHAnsi" w:hAnsiTheme="minorHAnsi"/>
                <w:noProof/>
                <w:sz w:val="20"/>
                <w:szCs w:val="20"/>
              </w:rPr>
              <w:t>data</w:t>
            </w:r>
            <w:r w:rsidR="00FE7615" w:rsidRPr="002F5F83">
              <w:rPr>
                <w:rFonts w:asciiTheme="minorHAnsi" w:hAnsiTheme="minorHAnsi"/>
                <w:noProof/>
                <w:sz w:val="20"/>
                <w:szCs w:val="20"/>
              </w:rPr>
              <w:t>-label</w:t>
            </w:r>
            <w:r w:rsidRPr="002F5F83">
              <w:rPr>
                <w:rFonts w:asciiTheme="minorHAnsi" w:hAnsiTheme="minorHAnsi"/>
                <w:noProof/>
                <w:sz w:val="20"/>
                <w:szCs w:val="20"/>
              </w:rPr>
              <w:t>s*</w:t>
            </w:r>
            <w:r w:rsidR="00FE7615" w:rsidRPr="002F5F83">
              <w:rPr>
                <w:rFonts w:asciiTheme="minorHAnsi" w:hAnsiTheme="minorHAnsi"/>
                <w:noProof/>
                <w:sz w:val="20"/>
                <w:szCs w:val="20"/>
              </w:rPr>
              <w:t xml:space="preserve"> </w:t>
            </w:r>
            <w:r w:rsidRPr="002F5F83">
              <w:rPr>
                <w:rFonts w:asciiTheme="minorHAnsi" w:hAnsiTheme="minorHAnsi"/>
                <w:noProof/>
                <w:sz w:val="20"/>
                <w:szCs w:val="20"/>
              </w:rPr>
              <w:t>f</w:t>
            </w:r>
            <w:r w:rsidR="00F22121">
              <w:rPr>
                <w:rFonts w:asciiTheme="minorHAnsi" w:hAnsiTheme="minorHAnsi"/>
                <w:noProof/>
                <w:sz w:val="20"/>
                <w:szCs w:val="20"/>
              </w:rPr>
              <w:t>or the</w:t>
            </w:r>
            <w:r w:rsidR="00FE7615" w:rsidRPr="002F5F83">
              <w:rPr>
                <w:rFonts w:asciiTheme="minorHAnsi" w:hAnsiTheme="minorHAnsi"/>
                <w:noProof/>
                <w:sz w:val="20"/>
                <w:szCs w:val="20"/>
              </w:rPr>
              <w:t xml:space="preserve"> 2001</w:t>
            </w:r>
            <w:r w:rsidR="00F22121">
              <w:rPr>
                <w:rFonts w:asciiTheme="minorHAnsi" w:hAnsiTheme="minorHAnsi"/>
                <w:noProof/>
                <w:sz w:val="20"/>
                <w:szCs w:val="20"/>
              </w:rPr>
              <w:t xml:space="preserve"> </w:t>
            </w:r>
            <w:r w:rsidRPr="002F5F83">
              <w:rPr>
                <w:rFonts w:asciiTheme="minorHAnsi" w:hAnsiTheme="minorHAnsi"/>
                <w:noProof/>
                <w:sz w:val="20"/>
                <w:szCs w:val="20"/>
              </w:rPr>
              <w:t>data series</w:t>
            </w:r>
            <w:r w:rsidR="00986BB7">
              <w:rPr>
                <w:rFonts w:asciiTheme="minorHAnsi" w:hAnsiTheme="minorHAnsi"/>
                <w:noProof/>
                <w:sz w:val="20"/>
                <w:szCs w:val="20"/>
              </w:rPr>
              <w:t xml:space="preserve"> (using a chart-labeller)</w:t>
            </w:r>
          </w:p>
          <w:p w:rsidR="00FE7615" w:rsidRDefault="00FE7615">
            <w:pPr>
              <w:rPr>
                <w:noProof/>
              </w:rPr>
            </w:pPr>
          </w:p>
          <w:p w:rsidR="000459AD" w:rsidRDefault="000459AD">
            <w:pPr>
              <w:rPr>
                <w:noProof/>
              </w:rPr>
            </w:pPr>
          </w:p>
          <w:p w:rsidR="000459AD" w:rsidRDefault="000459AD">
            <w:pPr>
              <w:rPr>
                <w:noProof/>
              </w:rPr>
            </w:pPr>
          </w:p>
          <w:p w:rsidR="000459AD" w:rsidRDefault="000459AD">
            <w:pPr>
              <w:rPr>
                <w:noProof/>
              </w:rPr>
            </w:pPr>
          </w:p>
          <w:p w:rsidR="000459AD" w:rsidRDefault="000459AD">
            <w:pPr>
              <w:rPr>
                <w:noProof/>
              </w:rPr>
            </w:pPr>
          </w:p>
          <w:p w:rsidR="000459AD" w:rsidRDefault="000459AD">
            <w:pPr>
              <w:rPr>
                <w:noProof/>
              </w:rPr>
            </w:pPr>
          </w:p>
          <w:p w:rsidR="000459AD" w:rsidRDefault="000459AD">
            <w:pPr>
              <w:rPr>
                <w:noProof/>
              </w:rPr>
            </w:pPr>
          </w:p>
        </w:tc>
      </w:tr>
    </w:tbl>
    <w:p w:rsidR="009B5E02" w:rsidRDefault="009B5E02" w:rsidP="00AB25C1">
      <w:pPr>
        <w:pBdr>
          <w:bottom w:val="single" w:sz="12" w:space="1" w:color="auto"/>
        </w:pBdr>
        <w:rPr>
          <w:sz w:val="4"/>
          <w:szCs w:val="4"/>
        </w:rPr>
      </w:pPr>
    </w:p>
    <w:p w:rsidR="00423AD0" w:rsidRDefault="00423AD0">
      <w:pPr>
        <w:rPr>
          <w:sz w:val="6"/>
          <w:szCs w:val="6"/>
        </w:rPr>
      </w:pPr>
    </w:p>
    <w:p w:rsidR="00423AD0" w:rsidRDefault="00423AD0">
      <w:pPr>
        <w:rPr>
          <w:sz w:val="6"/>
          <w:szCs w:val="6"/>
        </w:rPr>
      </w:pPr>
    </w:p>
    <w:p w:rsidR="00423AD0" w:rsidRDefault="00423AD0">
      <w:pPr>
        <w:rPr>
          <w:sz w:val="6"/>
          <w:szCs w:val="6"/>
        </w:rPr>
      </w:pPr>
    </w:p>
    <w:p w:rsidR="00423AD0" w:rsidRDefault="00423AD0">
      <w:pPr>
        <w:rPr>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6"/>
        <w:gridCol w:w="4482"/>
      </w:tblGrid>
      <w:tr w:rsidR="00423AD0" w:rsidTr="002A6422">
        <w:tc>
          <w:tcPr>
            <w:tcW w:w="4770" w:type="dxa"/>
          </w:tcPr>
          <w:p w:rsidR="00423AD0" w:rsidRDefault="00743FA3" w:rsidP="00423AD0">
            <w:pPr>
              <w:jc w:val="center"/>
              <w:rPr>
                <w:noProof/>
              </w:rPr>
            </w:pPr>
            <w:r>
              <w:rPr>
                <w:noProof/>
              </w:rPr>
              <w:drawing>
                <wp:inline distT="0" distB="0" distL="0" distR="0">
                  <wp:extent cx="3230880" cy="2148840"/>
                  <wp:effectExtent l="19050" t="0" r="762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230880" cy="2148840"/>
                          </a:xfrm>
                          <a:prstGeom prst="rect">
                            <a:avLst/>
                          </a:prstGeom>
                          <a:noFill/>
                          <a:ln w="9525">
                            <a:noFill/>
                            <a:miter lim="800000"/>
                            <a:headEnd/>
                            <a:tailEnd/>
                          </a:ln>
                        </pic:spPr>
                      </pic:pic>
                    </a:graphicData>
                  </a:graphic>
                </wp:inline>
              </w:drawing>
            </w:r>
          </w:p>
        </w:tc>
        <w:tc>
          <w:tcPr>
            <w:tcW w:w="5778" w:type="dxa"/>
          </w:tcPr>
          <w:p w:rsidR="00743FA3" w:rsidRPr="006650EA" w:rsidRDefault="00743FA3" w:rsidP="00743FA3">
            <w:pPr>
              <w:rPr>
                <w:rFonts w:asciiTheme="minorHAnsi" w:hAnsiTheme="minorHAnsi"/>
                <w:b/>
                <w:sz w:val="20"/>
                <w:szCs w:val="20"/>
              </w:rPr>
            </w:pPr>
            <w:r w:rsidRPr="006650EA">
              <w:rPr>
                <w:rFonts w:asciiTheme="minorHAnsi" w:hAnsiTheme="minorHAnsi"/>
                <w:b/>
                <w:sz w:val="20"/>
                <w:szCs w:val="20"/>
              </w:rPr>
              <w:t>Sparklines:</w:t>
            </w:r>
          </w:p>
          <w:p w:rsidR="00423AD0" w:rsidRDefault="00743FA3" w:rsidP="00743FA3">
            <w:pPr>
              <w:pStyle w:val="ListParagraph"/>
              <w:ind w:left="0"/>
              <w:jc w:val="center"/>
              <w:rPr>
                <w:rFonts w:asciiTheme="minorHAnsi" w:hAnsiTheme="minorHAnsi"/>
                <w:sz w:val="20"/>
                <w:szCs w:val="20"/>
              </w:rPr>
            </w:pPr>
            <w:r w:rsidRPr="006650EA">
              <w:rPr>
                <w:rFonts w:asciiTheme="minorHAnsi" w:hAnsiTheme="minorHAnsi"/>
                <w:sz w:val="20"/>
                <w:szCs w:val="20"/>
              </w:rPr>
              <w:t>“"intense, simple, wordlike graphics"</w:t>
            </w:r>
            <w:r>
              <w:rPr>
                <w:rFonts w:asciiTheme="minorHAnsi" w:hAnsiTheme="minorHAnsi"/>
                <w:sz w:val="20"/>
                <w:szCs w:val="20"/>
              </w:rPr>
              <w:br/>
              <w:t xml:space="preserve">                    </w:t>
            </w:r>
            <w:r w:rsidRPr="006650EA">
              <w:rPr>
                <w:rFonts w:asciiTheme="minorHAnsi" w:hAnsiTheme="minorHAnsi"/>
                <w:sz w:val="20"/>
                <w:szCs w:val="20"/>
              </w:rPr>
              <w:t xml:space="preserve"> - Tufte</w:t>
            </w:r>
            <w:r>
              <w:rPr>
                <w:rFonts w:asciiTheme="minorHAnsi" w:hAnsiTheme="minorHAnsi"/>
                <w:sz w:val="20"/>
                <w:szCs w:val="20"/>
              </w:rPr>
              <w:br/>
            </w:r>
            <w:r>
              <w:rPr>
                <w:rFonts w:asciiTheme="minorHAnsi" w:hAnsiTheme="minorHAnsi"/>
                <w:sz w:val="20"/>
                <w:szCs w:val="20"/>
              </w:rPr>
              <w:br/>
            </w:r>
            <w:r>
              <w:rPr>
                <w:rFonts w:asciiTheme="minorHAnsi" w:hAnsiTheme="minorHAnsi"/>
                <w:b/>
                <w:sz w:val="20"/>
                <w:szCs w:val="20"/>
              </w:rPr>
              <w:t>Bar-</w:t>
            </w:r>
            <w:r w:rsidRPr="006650EA">
              <w:rPr>
                <w:rFonts w:asciiTheme="minorHAnsi" w:hAnsiTheme="minorHAnsi"/>
                <w:b/>
                <w:sz w:val="20"/>
                <w:szCs w:val="20"/>
              </w:rPr>
              <w:t>chart sparklines</w:t>
            </w:r>
            <w:r>
              <w:rPr>
                <w:rFonts w:asciiTheme="minorHAnsi" w:hAnsiTheme="minorHAnsi"/>
                <w:sz w:val="20"/>
                <w:szCs w:val="20"/>
              </w:rPr>
              <w:t>:</w:t>
            </w:r>
            <w:r>
              <w:rPr>
                <w:rFonts w:asciiTheme="minorHAnsi" w:hAnsiTheme="minorHAnsi"/>
                <w:sz w:val="20"/>
                <w:szCs w:val="20"/>
              </w:rPr>
              <w:br/>
            </w:r>
            <w:r>
              <w:rPr>
                <w:rFonts w:asciiTheme="minorHAnsi" w:hAnsiTheme="minorHAnsi"/>
                <w:sz w:val="20"/>
                <w:szCs w:val="20"/>
              </w:rPr>
              <w:br/>
            </w:r>
            <w:r>
              <w:rPr>
                <w:rFonts w:asciiTheme="minorHAnsi" w:hAnsiTheme="minorHAnsi"/>
                <w:noProof/>
                <w:sz w:val="20"/>
                <w:szCs w:val="20"/>
              </w:rPr>
              <w:drawing>
                <wp:inline distT="0" distB="0" distL="0" distR="0">
                  <wp:extent cx="1082040" cy="96012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tretch>
                            <a:fillRect/>
                          </a:stretch>
                        </pic:blipFill>
                        <pic:spPr bwMode="auto">
                          <a:xfrm>
                            <a:off x="0" y="0"/>
                            <a:ext cx="1082040" cy="960120"/>
                          </a:xfrm>
                          <a:prstGeom prst="rect">
                            <a:avLst/>
                          </a:prstGeom>
                          <a:noFill/>
                          <a:ln w="9525">
                            <a:noFill/>
                            <a:miter lim="800000"/>
                            <a:headEnd/>
                            <a:tailEnd/>
                          </a:ln>
                        </pic:spPr>
                      </pic:pic>
                    </a:graphicData>
                  </a:graphic>
                </wp:inline>
              </w:drawing>
            </w:r>
          </w:p>
          <w:p w:rsidR="000459AD" w:rsidRDefault="000459AD" w:rsidP="00743FA3">
            <w:pPr>
              <w:pStyle w:val="ListParagraph"/>
              <w:ind w:left="0"/>
              <w:jc w:val="center"/>
              <w:rPr>
                <w:rFonts w:asciiTheme="minorHAnsi" w:hAnsiTheme="minorHAnsi"/>
                <w:sz w:val="20"/>
                <w:szCs w:val="20"/>
              </w:rPr>
            </w:pPr>
          </w:p>
          <w:p w:rsidR="000459AD" w:rsidRDefault="000459AD" w:rsidP="00743FA3">
            <w:pPr>
              <w:pStyle w:val="ListParagraph"/>
              <w:ind w:left="0"/>
              <w:jc w:val="center"/>
              <w:rPr>
                <w:rFonts w:asciiTheme="minorHAnsi" w:hAnsiTheme="minorHAnsi"/>
                <w:sz w:val="20"/>
                <w:szCs w:val="20"/>
              </w:rPr>
            </w:pPr>
          </w:p>
          <w:p w:rsidR="000459AD" w:rsidRDefault="000459AD" w:rsidP="00743FA3">
            <w:pPr>
              <w:pStyle w:val="ListParagraph"/>
              <w:ind w:left="0"/>
              <w:jc w:val="center"/>
              <w:rPr>
                <w:rFonts w:asciiTheme="minorHAnsi" w:hAnsiTheme="minorHAnsi"/>
                <w:sz w:val="20"/>
                <w:szCs w:val="20"/>
              </w:rPr>
            </w:pPr>
          </w:p>
          <w:p w:rsidR="000459AD" w:rsidRDefault="000459AD" w:rsidP="00743FA3">
            <w:pPr>
              <w:pStyle w:val="ListParagraph"/>
              <w:ind w:left="0"/>
              <w:jc w:val="center"/>
              <w:rPr>
                <w:noProof/>
              </w:rPr>
            </w:pPr>
          </w:p>
        </w:tc>
      </w:tr>
    </w:tbl>
    <w:p w:rsidR="00423AD0" w:rsidRDefault="00423AD0">
      <w:pPr>
        <w:rPr>
          <w:sz w:val="6"/>
          <w:szCs w:val="6"/>
        </w:rPr>
      </w:pPr>
    </w:p>
    <w:p w:rsidR="00423AD0" w:rsidRDefault="00423AD0">
      <w:pPr>
        <w:pBdr>
          <w:bottom w:val="single" w:sz="6" w:space="1" w:color="auto"/>
        </w:pBdr>
        <w:rPr>
          <w:sz w:val="6"/>
          <w:szCs w:val="6"/>
        </w:rPr>
      </w:pPr>
    </w:p>
    <w:p w:rsidR="002A6422" w:rsidRDefault="002A6422">
      <w:pPr>
        <w:rPr>
          <w:sz w:val="6"/>
          <w:szCs w:val="6"/>
        </w:rPr>
      </w:pPr>
    </w:p>
    <w:p w:rsidR="00423AD0" w:rsidRDefault="00423AD0">
      <w:pPr>
        <w:rPr>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28"/>
      </w:tblGrid>
      <w:tr w:rsidR="00423AD0" w:rsidTr="00853123">
        <w:tc>
          <w:tcPr>
            <w:tcW w:w="10458" w:type="dxa"/>
          </w:tcPr>
          <w:p w:rsidR="00423AD0" w:rsidRPr="006650EA" w:rsidRDefault="00423AD0" w:rsidP="00423AD0">
            <w:pPr>
              <w:jc w:val="center"/>
              <w:rPr>
                <w:rFonts w:asciiTheme="minorHAnsi" w:hAnsiTheme="minorHAnsi"/>
                <w:sz w:val="20"/>
                <w:szCs w:val="20"/>
              </w:rPr>
            </w:pPr>
            <w:r w:rsidRPr="00F22121">
              <w:rPr>
                <w:noProof/>
              </w:rPr>
              <w:drawing>
                <wp:inline distT="0" distB="0" distL="0" distR="0">
                  <wp:extent cx="5330190" cy="2274950"/>
                  <wp:effectExtent l="19050" t="0" r="381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43328" cy="2280557"/>
                          </a:xfrm>
                          <a:prstGeom prst="rect">
                            <a:avLst/>
                          </a:prstGeom>
                          <a:noFill/>
                          <a:ln w="9525">
                            <a:noFill/>
                            <a:miter lim="800000"/>
                            <a:headEnd/>
                            <a:tailEnd/>
                          </a:ln>
                        </pic:spPr>
                      </pic:pic>
                    </a:graphicData>
                  </a:graphic>
                </wp:inline>
              </w:drawing>
            </w:r>
          </w:p>
        </w:tc>
      </w:tr>
    </w:tbl>
    <w:p w:rsidR="00423AD0" w:rsidRDefault="00423AD0" w:rsidP="00423AD0">
      <w:pPr>
        <w:rPr>
          <w:rFonts w:asciiTheme="minorHAnsi" w:hAnsiTheme="minorHAnsi"/>
          <w:noProof/>
          <w:sz w:val="20"/>
          <w:szCs w:val="20"/>
        </w:rPr>
      </w:pPr>
    </w:p>
    <w:p w:rsidR="00423AD0" w:rsidRDefault="00423AD0" w:rsidP="00423AD0">
      <w:pPr>
        <w:rPr>
          <w:rFonts w:asciiTheme="minorHAnsi" w:hAnsiTheme="minorHAnsi"/>
          <w:noProof/>
          <w:sz w:val="20"/>
          <w:szCs w:val="20"/>
        </w:rPr>
      </w:pPr>
    </w:p>
    <w:p w:rsidR="00423AD0" w:rsidRDefault="00423AD0">
      <w:pPr>
        <w:rPr>
          <w:rFonts w:asciiTheme="minorHAnsi" w:hAnsiTheme="minorHAnsi"/>
          <w:noProof/>
          <w:sz w:val="20"/>
          <w:szCs w:val="20"/>
        </w:rPr>
      </w:pPr>
      <w:r>
        <w:rPr>
          <w:rFonts w:asciiTheme="minorHAnsi" w:hAnsiTheme="minorHAnsi"/>
          <w:noProof/>
          <w:sz w:val="20"/>
          <w:szCs w:val="20"/>
        </w:rPr>
        <w:br w:type="page"/>
      </w:r>
    </w:p>
    <w:p w:rsidR="00423AD0" w:rsidRDefault="00423AD0" w:rsidP="00423AD0">
      <w:pPr>
        <w:rPr>
          <w:rFonts w:asciiTheme="minorHAnsi" w:hAnsiTheme="minorHAnsi"/>
          <w:noProof/>
          <w:sz w:val="20"/>
          <w:szCs w:val="20"/>
        </w:rPr>
      </w:pPr>
    </w:p>
    <w:p w:rsidR="00423AD0" w:rsidRDefault="00423AD0" w:rsidP="00423AD0">
      <w:pPr>
        <w:rPr>
          <w:rFonts w:asciiTheme="minorHAnsi" w:hAnsiTheme="minorHAnsi"/>
          <w:noProof/>
          <w:sz w:val="20"/>
          <w:szCs w:val="20"/>
        </w:rPr>
      </w:pPr>
    </w:p>
    <w:p w:rsidR="00423AD0" w:rsidRPr="00397417" w:rsidRDefault="00423AD0" w:rsidP="00423AD0">
      <w:pPr>
        <w:rPr>
          <w:rFonts w:asciiTheme="minorHAnsi" w:hAnsiTheme="minorHAnsi"/>
          <w:noProof/>
          <w:sz w:val="20"/>
          <w:szCs w:val="20"/>
        </w:rPr>
      </w:pPr>
    </w:p>
    <w:p w:rsidR="00423AD0" w:rsidRPr="00397417" w:rsidRDefault="002A6422" w:rsidP="00423AD0">
      <w:pPr>
        <w:rPr>
          <w:rFonts w:asciiTheme="minorHAnsi" w:hAnsiTheme="minorHAnsi"/>
          <w:b/>
          <w:noProof/>
          <w:sz w:val="20"/>
          <w:szCs w:val="20"/>
        </w:rPr>
      </w:pPr>
      <w:r>
        <w:rPr>
          <w:rFonts w:asciiTheme="minorHAnsi" w:hAnsiTheme="minorHAnsi"/>
          <w:b/>
          <w:noProof/>
          <w:sz w:val="20"/>
          <w:szCs w:val="20"/>
        </w:rPr>
        <w:t>Bubble-</w:t>
      </w:r>
      <w:r w:rsidR="00423AD0" w:rsidRPr="00397417">
        <w:rPr>
          <w:rFonts w:asciiTheme="minorHAnsi" w:hAnsiTheme="minorHAnsi"/>
          <w:b/>
          <w:noProof/>
          <w:sz w:val="20"/>
          <w:szCs w:val="20"/>
        </w:rPr>
        <w:t>scatterplot with chart labelling</w:t>
      </w:r>
      <w:r w:rsidR="00423AD0">
        <w:rPr>
          <w:rFonts w:asciiTheme="minorHAnsi" w:hAnsiTheme="minorHAnsi"/>
          <w:b/>
          <w:noProof/>
          <w:sz w:val="20"/>
          <w:szCs w:val="20"/>
        </w:rPr>
        <w:t>:</w:t>
      </w:r>
    </w:p>
    <w:p w:rsidR="00AB25C1" w:rsidRDefault="00423AD0" w:rsidP="00423AD0">
      <w:pPr>
        <w:ind w:firstLine="720"/>
        <w:rPr>
          <w:noProof/>
        </w:rPr>
      </w:pPr>
      <w:r>
        <w:rPr>
          <w:rFonts w:asciiTheme="minorHAnsi" w:hAnsiTheme="minorHAnsi"/>
          <w:noProof/>
          <w:sz w:val="20"/>
          <w:szCs w:val="20"/>
        </w:rPr>
        <w:t xml:space="preserve">                          </w:t>
      </w:r>
      <w:r w:rsidRPr="00397417">
        <w:rPr>
          <w:rFonts w:asciiTheme="minorHAnsi" w:hAnsiTheme="minorHAnsi"/>
          <w:noProof/>
          <w:sz w:val="20"/>
          <w:szCs w:val="20"/>
        </w:rPr>
        <w:t>Violent Crime and Arrest Rate: New York Counties, 2007</w:t>
      </w:r>
      <w:r w:rsidR="00A6134A">
        <w:rPr>
          <w:noProof/>
        </w:rPr>
        <w:t xml:space="preserve">   </w:t>
      </w:r>
      <w:r w:rsidR="00B51CE6">
        <w:rPr>
          <w:noProof/>
        </w:rPr>
        <w:t xml:space="preserve">  </w:t>
      </w:r>
    </w:p>
    <w:p w:rsidR="00423AD0" w:rsidRDefault="00423AD0" w:rsidP="00423AD0">
      <w:pPr>
        <w:pBdr>
          <w:bottom w:val="single" w:sz="6" w:space="1" w:color="auto"/>
        </w:pBdr>
        <w:rPr>
          <w:rFonts w:asciiTheme="minorHAnsi" w:hAnsiTheme="minorHAnsi"/>
          <w:noProof/>
          <w:sz w:val="20"/>
          <w:szCs w:val="20"/>
        </w:rPr>
      </w:pPr>
      <w:r w:rsidRPr="00423AD0">
        <w:rPr>
          <w:noProof/>
        </w:rPr>
        <w:drawing>
          <wp:inline distT="0" distB="0" distL="0" distR="0">
            <wp:extent cx="4693920" cy="2392680"/>
            <wp:effectExtent l="0" t="0" r="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6422" w:rsidRDefault="002A6422" w:rsidP="00423AD0">
      <w:pPr>
        <w:rPr>
          <w:rFonts w:asciiTheme="minorHAnsi" w:hAnsiTheme="minorHAnsi"/>
          <w:noProof/>
          <w:sz w:val="20"/>
          <w:szCs w:val="20"/>
        </w:rPr>
      </w:pPr>
    </w:p>
    <w:p w:rsidR="00423AD0" w:rsidRDefault="00423AD0" w:rsidP="00423AD0">
      <w:pPr>
        <w:rPr>
          <w:rFonts w:asciiTheme="minorHAnsi" w:hAnsiTheme="minorHAnsi"/>
          <w:noProof/>
          <w:sz w:val="20"/>
          <w:szCs w:val="20"/>
        </w:rPr>
      </w:pPr>
    </w:p>
    <w:p w:rsidR="00423AD0" w:rsidRDefault="00423AD0" w:rsidP="00423AD0">
      <w:pPr>
        <w:rPr>
          <w:rFonts w:asciiTheme="minorHAnsi" w:hAnsiTheme="minorHAnsi"/>
          <w:noProof/>
          <w:sz w:val="20"/>
          <w:szCs w:val="20"/>
        </w:rPr>
      </w:pPr>
    </w:p>
    <w:p w:rsidR="00423AD0" w:rsidRDefault="00423AD0" w:rsidP="00423AD0">
      <w:pPr>
        <w:rPr>
          <w:rFonts w:asciiTheme="minorHAnsi" w:hAnsiTheme="minorHAnsi"/>
          <w:noProof/>
          <w:sz w:val="20"/>
          <w:szCs w:val="20"/>
        </w:rPr>
      </w:pPr>
    </w:p>
    <w:p w:rsidR="00423AD0" w:rsidRPr="00423AD0" w:rsidRDefault="0072762F" w:rsidP="00423AD0">
      <w:pPr>
        <w:rPr>
          <w:rFonts w:asciiTheme="minorHAnsi" w:hAnsiTheme="minorHAnsi"/>
          <w:noProof/>
          <w:sz w:val="20"/>
          <w:szCs w:val="20"/>
        </w:rPr>
      </w:pPr>
      <w:r w:rsidRPr="00423AD0">
        <w:rPr>
          <w:rFonts w:asciiTheme="minorHAnsi" w:hAnsiTheme="minorHAnsi"/>
          <w:noProof/>
          <w:sz w:val="20"/>
          <w:szCs w:val="20"/>
        </w:rPr>
        <w:drawing>
          <wp:inline distT="0" distB="0" distL="0" distR="0">
            <wp:extent cx="5494020" cy="3421380"/>
            <wp:effectExtent l="0" t="0" r="0" b="0"/>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741C" w:rsidRDefault="006B741C" w:rsidP="00AB25C1">
      <w:pPr>
        <w:ind w:left="-360"/>
        <w:rPr>
          <w:rFonts w:asciiTheme="minorHAnsi" w:hAnsiTheme="minorHAnsi" w:cs="Arial"/>
          <w:sz w:val="18"/>
          <w:szCs w:val="18"/>
        </w:rPr>
      </w:pPr>
    </w:p>
    <w:p w:rsidR="00026854" w:rsidRDefault="00026854">
      <w:pPr>
        <w:rPr>
          <w:rFonts w:asciiTheme="minorHAnsi" w:hAnsiTheme="minorHAnsi" w:cs="Arial"/>
          <w:sz w:val="18"/>
          <w:szCs w:val="18"/>
        </w:rPr>
      </w:pPr>
      <w:r>
        <w:rPr>
          <w:rFonts w:asciiTheme="minorHAnsi" w:hAnsiTheme="minorHAnsi" w:cs="Arial"/>
          <w:sz w:val="18"/>
          <w:szCs w:val="18"/>
        </w:rPr>
        <w:br w:type="page"/>
      </w:r>
    </w:p>
    <w:p w:rsidR="001D5A14" w:rsidRDefault="00CA67E6" w:rsidP="001D5A14">
      <w:r>
        <w:rPr>
          <w:b/>
          <w:bCs/>
        </w:rPr>
        <w:lastRenderedPageBreak/>
        <w:t>Examples of Excellent Data Display</w:t>
      </w:r>
      <w:r>
        <w:rPr>
          <w:b/>
          <w:bCs/>
        </w:rPr>
        <w:br/>
      </w:r>
      <w:r>
        <w:rPr>
          <w:b/>
          <w:bCs/>
        </w:rPr>
        <w:br/>
      </w:r>
      <w:r w:rsidR="001D5A14" w:rsidRPr="00906EF9">
        <w:rPr>
          <w:b/>
          <w:bCs/>
        </w:rPr>
        <w:t>Defense presentation at John Gotti trial</w:t>
      </w:r>
      <w:r w:rsidR="001D5A14">
        <w:rPr>
          <w:b/>
          <w:bCs/>
        </w:rPr>
        <w:t>:</w:t>
      </w:r>
    </w:p>
    <w:p w:rsidR="001D5A14" w:rsidRDefault="001D5A14" w:rsidP="001D5A14"/>
    <w:p w:rsidR="001D5A14" w:rsidRDefault="001D5A14" w:rsidP="001D5A14">
      <w:r>
        <w:rPr>
          <w:noProof/>
        </w:rPr>
        <w:drawing>
          <wp:inline distT="0" distB="0" distL="0" distR="0">
            <wp:extent cx="6430423" cy="4739640"/>
            <wp:effectExtent l="19050" t="0" r="8477"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438569" cy="4745644"/>
                    </a:xfrm>
                    <a:prstGeom prst="rect">
                      <a:avLst/>
                    </a:prstGeom>
                    <a:noFill/>
                    <a:ln w="9525">
                      <a:noFill/>
                      <a:miter lim="800000"/>
                      <a:headEnd/>
                      <a:tailEnd/>
                    </a:ln>
                  </pic:spPr>
                </pic:pic>
              </a:graphicData>
            </a:graphic>
          </wp:inline>
        </w:drawing>
      </w:r>
    </w:p>
    <w:p w:rsidR="001D5A14" w:rsidRDefault="001D5A14" w:rsidP="001D5A14"/>
    <w:p w:rsidR="001D5A14" w:rsidRPr="00906EF9" w:rsidRDefault="001D5A14" w:rsidP="001D5A14">
      <w:r w:rsidRPr="00906EF9">
        <w:t xml:space="preserve">This Chart is described in Tufte, </w:t>
      </w:r>
      <w:r w:rsidRPr="001E3639">
        <w:rPr>
          <w:i/>
        </w:rPr>
        <w:t>Envisioning Information</w:t>
      </w:r>
      <w:r w:rsidRPr="00906EF9">
        <w:t>, p. 31.</w:t>
      </w:r>
    </w:p>
    <w:p w:rsidR="001D5A14" w:rsidRPr="00906EF9" w:rsidRDefault="001D5A14" w:rsidP="001D5A14">
      <w:r w:rsidRPr="00906EF9">
        <w:t xml:space="preserve">Reconstructed by Christy Zlatos, http://hdl.handle.net/2376/1976 </w:t>
      </w:r>
    </w:p>
    <w:p w:rsidR="001D5A14" w:rsidRDefault="001D5A14" w:rsidP="001D5A14"/>
    <w:p w:rsidR="001D5A14" w:rsidRDefault="001D5A14" w:rsidP="001D5A14">
      <w:r>
        <w:br w:type="page"/>
      </w:r>
    </w:p>
    <w:p w:rsidR="001D5A14" w:rsidRPr="001E3639" w:rsidRDefault="001D5A14" w:rsidP="001D5A14">
      <w:pPr>
        <w:rPr>
          <w:b/>
          <w:bCs/>
        </w:rPr>
      </w:pPr>
      <w:r w:rsidRPr="001E3639">
        <w:rPr>
          <w:b/>
          <w:bCs/>
        </w:rPr>
        <w:lastRenderedPageBreak/>
        <w:t>The British "Breathalyser" Crackdown:</w:t>
      </w:r>
    </w:p>
    <w:p w:rsidR="001D5A14" w:rsidRDefault="001D5A14" w:rsidP="001D5A14">
      <w:r>
        <w:rPr>
          <w:noProof/>
        </w:rPr>
        <w:drawing>
          <wp:inline distT="0" distB="0" distL="0" distR="0">
            <wp:extent cx="6115050" cy="6611898"/>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15050" cy="6611898"/>
                    </a:xfrm>
                    <a:prstGeom prst="rect">
                      <a:avLst/>
                    </a:prstGeom>
                    <a:noFill/>
                    <a:ln w="9525">
                      <a:noFill/>
                      <a:miter lim="800000"/>
                      <a:headEnd/>
                      <a:tailEnd/>
                    </a:ln>
                  </pic:spPr>
                </pic:pic>
              </a:graphicData>
            </a:graphic>
          </wp:inline>
        </w:drawing>
      </w:r>
    </w:p>
    <w:p w:rsidR="00EE4A5F" w:rsidRDefault="001D5A14" w:rsidP="001D5A14">
      <w:pPr>
        <w:rPr>
          <w:rFonts w:asciiTheme="minorHAnsi" w:hAnsiTheme="minorHAnsi" w:cs="Arial"/>
          <w:sz w:val="18"/>
          <w:szCs w:val="18"/>
        </w:rPr>
      </w:pPr>
      <w:r w:rsidRPr="00906EF9">
        <w:rPr>
          <w:rFonts w:eastAsia="Times New Roman" w:cs="Times New Roman"/>
          <w:szCs w:val="24"/>
        </w:rPr>
        <w:t>H</w:t>
      </w:r>
      <w:r>
        <w:rPr>
          <w:rFonts w:eastAsia="Times New Roman" w:cs="Times New Roman"/>
          <w:szCs w:val="24"/>
        </w:rPr>
        <w:t>.</w:t>
      </w:r>
      <w:r w:rsidRPr="00906EF9">
        <w:rPr>
          <w:rFonts w:eastAsia="Times New Roman" w:cs="Times New Roman"/>
          <w:szCs w:val="24"/>
        </w:rPr>
        <w:t xml:space="preserve"> Laurence Ross</w:t>
      </w:r>
      <w:r>
        <w:rPr>
          <w:rFonts w:eastAsia="Times New Roman" w:cs="Times New Roman"/>
          <w:szCs w:val="24"/>
        </w:rPr>
        <w:t xml:space="preserve">, </w:t>
      </w:r>
      <w:r w:rsidRPr="00906EF9">
        <w:rPr>
          <w:rFonts w:eastAsia="Times New Roman" w:cs="Times New Roman"/>
          <w:szCs w:val="24"/>
        </w:rPr>
        <w:t>Donald T Campbell</w:t>
      </w:r>
      <w:r>
        <w:rPr>
          <w:rFonts w:eastAsia="Times New Roman" w:cs="Times New Roman"/>
          <w:szCs w:val="24"/>
        </w:rPr>
        <w:t xml:space="preserve">, </w:t>
      </w:r>
      <w:r w:rsidRPr="00906EF9">
        <w:rPr>
          <w:rFonts w:eastAsia="Times New Roman" w:cs="Times New Roman"/>
          <w:szCs w:val="24"/>
        </w:rPr>
        <w:t xml:space="preserve">Gene V Glass. </w:t>
      </w:r>
      <w:r>
        <w:rPr>
          <w:rFonts w:eastAsia="Times New Roman" w:cs="Times New Roman"/>
          <w:szCs w:val="24"/>
        </w:rPr>
        <w:t>“</w:t>
      </w:r>
      <w:r w:rsidRPr="00906EF9">
        <w:rPr>
          <w:rFonts w:eastAsia="Times New Roman" w:cs="Times New Roman"/>
          <w:color w:val="000000" w:themeColor="text1"/>
          <w:szCs w:val="24"/>
        </w:rPr>
        <w:t>Determining the Social Effects of a Legal Reform; The British "Breathalyser" Crackdown of 1967</w:t>
      </w:r>
      <w:r>
        <w:rPr>
          <w:rFonts w:eastAsia="Times New Roman" w:cs="Times New Roman"/>
          <w:color w:val="000000" w:themeColor="text1"/>
          <w:szCs w:val="24"/>
        </w:rPr>
        <w:t xml:space="preserve">,” </w:t>
      </w:r>
      <w:r w:rsidRPr="00906EF9">
        <w:rPr>
          <w:rFonts w:eastAsia="Times New Roman" w:cs="Times New Roman"/>
          <w:i/>
          <w:szCs w:val="24"/>
        </w:rPr>
        <w:t>The American Behavioral Scientist</w:t>
      </w:r>
      <w:r>
        <w:rPr>
          <w:rFonts w:eastAsia="Times New Roman" w:cs="Times New Roman"/>
          <w:i/>
          <w:szCs w:val="24"/>
        </w:rPr>
        <w:t xml:space="preserve">, </w:t>
      </w:r>
      <w:r w:rsidRPr="00906EF9">
        <w:rPr>
          <w:rFonts w:eastAsia="Times New Roman" w:cs="Times New Roman"/>
          <w:szCs w:val="24"/>
        </w:rPr>
        <w:t>/Apr</w:t>
      </w:r>
      <w:r>
        <w:rPr>
          <w:rFonts w:eastAsia="Times New Roman" w:cs="Times New Roman"/>
          <w:szCs w:val="24"/>
        </w:rPr>
        <w:t xml:space="preserve"> 1970. Vol. 13, Iss. 4; p. 501</w:t>
      </w:r>
    </w:p>
    <w:p w:rsidR="00A173CF" w:rsidRDefault="00A173CF" w:rsidP="00AB25C1">
      <w:pPr>
        <w:ind w:left="-360"/>
        <w:rPr>
          <w:rFonts w:asciiTheme="minorHAnsi" w:hAnsiTheme="minorHAnsi" w:cs="Arial"/>
          <w:sz w:val="18"/>
          <w:szCs w:val="18"/>
        </w:rPr>
      </w:pPr>
    </w:p>
    <w:p w:rsidR="00A173CF" w:rsidRDefault="00A173CF" w:rsidP="00AB25C1">
      <w:pPr>
        <w:ind w:left="-360"/>
        <w:rPr>
          <w:rFonts w:asciiTheme="minorHAnsi" w:hAnsiTheme="minorHAnsi" w:cs="Arial"/>
          <w:sz w:val="18"/>
          <w:szCs w:val="18"/>
        </w:rPr>
      </w:pPr>
    </w:p>
    <w:p w:rsidR="00434FE9" w:rsidRDefault="00434FE9">
      <w:pPr>
        <w:rPr>
          <w:rFonts w:asciiTheme="minorHAnsi" w:hAnsiTheme="minorHAnsi" w:cs="Arial"/>
          <w:szCs w:val="24"/>
        </w:rPr>
      </w:pPr>
      <w:r>
        <w:rPr>
          <w:rFonts w:asciiTheme="minorHAnsi" w:hAnsiTheme="minorHAnsi" w:cs="Arial"/>
          <w:szCs w:val="24"/>
        </w:rPr>
        <w:br w:type="page"/>
      </w:r>
    </w:p>
    <w:p w:rsidR="001D5A14" w:rsidRDefault="00434FE9" w:rsidP="00434FE9">
      <w:pPr>
        <w:ind w:left="-360" w:firstLine="360"/>
        <w:jc w:val="center"/>
        <w:rPr>
          <w:rFonts w:asciiTheme="minorHAnsi" w:hAnsiTheme="minorHAnsi" w:cs="Arial"/>
          <w:szCs w:val="24"/>
        </w:rPr>
      </w:pPr>
      <w:r w:rsidRPr="00434FE9">
        <w:rPr>
          <w:rFonts w:asciiTheme="minorHAnsi" w:hAnsiTheme="minorHAnsi" w:cs="Arial"/>
          <w:noProof/>
          <w:szCs w:val="24"/>
        </w:rPr>
        <w:lastRenderedPageBreak/>
        <w:drawing>
          <wp:inline distT="0" distB="0" distL="0" distR="0">
            <wp:extent cx="5177790" cy="3528060"/>
            <wp:effectExtent l="19050" t="0" r="3810" b="0"/>
            <wp:docPr id="17" name="Picture 14" descr="mickey2.jpg"/>
            <wp:cNvGraphicFramePr/>
            <a:graphic xmlns:a="http://schemas.openxmlformats.org/drawingml/2006/main">
              <a:graphicData uri="http://schemas.openxmlformats.org/drawingml/2006/picture">
                <pic:pic xmlns:pic="http://schemas.openxmlformats.org/drawingml/2006/picture">
                  <pic:nvPicPr>
                    <pic:cNvPr id="4" name="Picture 3" descr="mickey2.jpg"/>
                    <pic:cNvPicPr>
                      <a:picLocks noChangeAspect="1"/>
                    </pic:cNvPicPr>
                  </pic:nvPicPr>
                  <pic:blipFill>
                    <a:blip r:embed="rId17" cstate="print"/>
                    <a:stretch>
                      <a:fillRect/>
                    </a:stretch>
                  </pic:blipFill>
                  <pic:spPr>
                    <a:xfrm>
                      <a:off x="0" y="0"/>
                      <a:ext cx="5178591" cy="3528605"/>
                    </a:xfrm>
                    <a:prstGeom prst="rect">
                      <a:avLst/>
                    </a:prstGeom>
                  </pic:spPr>
                </pic:pic>
              </a:graphicData>
            </a:graphic>
          </wp:inline>
        </w:drawing>
      </w:r>
    </w:p>
    <w:p w:rsidR="001D5A14" w:rsidRDefault="001D5A14" w:rsidP="008F0E25">
      <w:pPr>
        <w:ind w:left="-360" w:firstLine="360"/>
        <w:rPr>
          <w:rFonts w:asciiTheme="minorHAnsi" w:hAnsiTheme="minorHAnsi" w:cs="Arial"/>
          <w:szCs w:val="24"/>
        </w:rPr>
      </w:pPr>
    </w:p>
    <w:p w:rsidR="00B2104E" w:rsidRDefault="00B2104E">
      <w:pPr>
        <w:rPr>
          <w:rFonts w:asciiTheme="minorHAnsi" w:hAnsiTheme="minorHAnsi" w:cs="Arial"/>
          <w:szCs w:val="24"/>
        </w:rPr>
      </w:pPr>
      <w:r>
        <w:rPr>
          <w:rFonts w:asciiTheme="minorHAnsi" w:hAnsiTheme="minorHAnsi" w:cs="Arial"/>
          <w:szCs w:val="24"/>
        </w:rPr>
        <w:br w:type="page"/>
      </w:r>
    </w:p>
    <w:p w:rsidR="001D5A14" w:rsidRDefault="001D5A14" w:rsidP="008F0E25">
      <w:pPr>
        <w:ind w:left="-360" w:firstLine="360"/>
        <w:rPr>
          <w:rFonts w:asciiTheme="minorHAnsi" w:hAnsiTheme="minorHAnsi" w:cs="Arial"/>
          <w:szCs w:val="24"/>
        </w:rPr>
      </w:pPr>
    </w:p>
    <w:p w:rsidR="00434FE9" w:rsidRPr="00A02F4A" w:rsidRDefault="001A3277" w:rsidP="008F0E25">
      <w:pPr>
        <w:ind w:left="-360" w:firstLine="360"/>
        <w:rPr>
          <w:b/>
          <w:bCs/>
        </w:rPr>
      </w:pPr>
      <w:r w:rsidRPr="00A02F4A">
        <w:rPr>
          <w:b/>
          <w:bCs/>
        </w:rPr>
        <w:t>Really Bad Charts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69"/>
        <w:gridCol w:w="2181"/>
        <w:gridCol w:w="2790"/>
      </w:tblGrid>
      <w:tr w:rsidR="00B2104E" w:rsidTr="00A16B83">
        <w:tc>
          <w:tcPr>
            <w:tcW w:w="6750" w:type="dxa"/>
            <w:gridSpan w:val="2"/>
          </w:tcPr>
          <w:p w:rsidR="00B2104E" w:rsidRDefault="00B2104E" w:rsidP="00A16B83">
            <w:pPr>
              <w:jc w:val="center"/>
              <w:rPr>
                <w:rFonts w:asciiTheme="minorHAnsi" w:hAnsiTheme="minorHAnsi" w:cs="Arial"/>
                <w:szCs w:val="24"/>
              </w:rPr>
            </w:pPr>
            <w:r>
              <w:rPr>
                <w:rFonts w:asciiTheme="minorHAnsi" w:hAnsiTheme="minorHAnsi" w:cs="Arial"/>
                <w:noProof/>
                <w:szCs w:val="24"/>
              </w:rPr>
              <w:drawing>
                <wp:inline distT="0" distB="0" distL="0" distR="0">
                  <wp:extent cx="2985407" cy="3000334"/>
                  <wp:effectExtent l="19050" t="0" r="5443" b="0"/>
                  <wp:docPr id="18" name="Picture 17" descr="2008HowPrisonsWorkPris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HowPrisonsWorkPrison-10.jpg"/>
                          <pic:cNvPicPr/>
                        </pic:nvPicPr>
                        <pic:blipFill>
                          <a:blip r:embed="rId18" cstate="print"/>
                          <a:stretch>
                            <a:fillRect/>
                          </a:stretch>
                        </pic:blipFill>
                        <pic:spPr>
                          <a:xfrm>
                            <a:off x="0" y="0"/>
                            <a:ext cx="2989656" cy="3004605"/>
                          </a:xfrm>
                          <a:prstGeom prst="rect">
                            <a:avLst/>
                          </a:prstGeom>
                        </pic:spPr>
                      </pic:pic>
                    </a:graphicData>
                  </a:graphic>
                </wp:inline>
              </w:drawing>
            </w:r>
          </w:p>
          <w:p w:rsidR="000459AD" w:rsidRDefault="000459AD" w:rsidP="00A16B83">
            <w:pPr>
              <w:jc w:val="center"/>
              <w:rPr>
                <w:rFonts w:asciiTheme="minorHAnsi" w:hAnsiTheme="minorHAnsi" w:cs="Arial"/>
                <w:szCs w:val="24"/>
              </w:rPr>
            </w:pPr>
          </w:p>
        </w:tc>
        <w:tc>
          <w:tcPr>
            <w:tcW w:w="2790" w:type="dxa"/>
            <w:vAlign w:val="center"/>
          </w:tcPr>
          <w:p w:rsidR="00B2104E" w:rsidRPr="001A3277" w:rsidRDefault="00A02F4A" w:rsidP="00A16B83">
            <w:pPr>
              <w:rPr>
                <w:rFonts w:asciiTheme="minorHAnsi" w:hAnsiTheme="minorHAnsi" w:cs="Arial"/>
                <w:sz w:val="22"/>
              </w:rPr>
            </w:pPr>
            <w:r>
              <w:rPr>
                <w:rFonts w:asciiTheme="minorHAnsi" w:hAnsiTheme="minorHAnsi" w:cs="Arial"/>
                <w:sz w:val="22"/>
              </w:rPr>
              <w:t>Joel Best</w:t>
            </w:r>
            <w:r w:rsidR="001A3277" w:rsidRPr="001A3277">
              <w:rPr>
                <w:rFonts w:asciiTheme="minorHAnsi" w:hAnsiTheme="minorHAnsi" w:cs="Arial"/>
                <w:sz w:val="22"/>
              </w:rPr>
              <w:t xml:space="preserve"> rates this as the worst </w:t>
            </w:r>
            <w:r>
              <w:rPr>
                <w:rFonts w:asciiTheme="minorHAnsi" w:hAnsiTheme="minorHAnsi" w:cs="Arial"/>
                <w:sz w:val="22"/>
              </w:rPr>
              <w:t xml:space="preserve">pie chart </w:t>
            </w:r>
            <w:r w:rsidR="001A3277" w:rsidRPr="001A3277">
              <w:rPr>
                <w:rFonts w:asciiTheme="minorHAnsi" w:hAnsiTheme="minorHAnsi" w:cs="Arial"/>
                <w:sz w:val="22"/>
              </w:rPr>
              <w:t>ever.</w:t>
            </w:r>
          </w:p>
        </w:tc>
      </w:tr>
      <w:tr w:rsidR="00B2104E" w:rsidTr="00A16B83">
        <w:tc>
          <w:tcPr>
            <w:tcW w:w="6750" w:type="dxa"/>
            <w:gridSpan w:val="2"/>
          </w:tcPr>
          <w:p w:rsidR="00B2104E" w:rsidRDefault="001A3277" w:rsidP="008F0E25">
            <w:pPr>
              <w:rPr>
                <w:rFonts w:asciiTheme="minorHAnsi" w:hAnsiTheme="minorHAnsi" w:cs="Arial"/>
                <w:szCs w:val="24"/>
              </w:rPr>
            </w:pPr>
            <w:r w:rsidRPr="001A3277">
              <w:rPr>
                <w:rFonts w:asciiTheme="minorHAnsi" w:hAnsiTheme="minorHAnsi" w:cs="Arial"/>
                <w:noProof/>
                <w:szCs w:val="24"/>
              </w:rPr>
              <w:drawing>
                <wp:inline distT="0" distB="0" distL="0" distR="0">
                  <wp:extent cx="4237798" cy="2579914"/>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242037" cy="2582495"/>
                          </a:xfrm>
                          <a:prstGeom prst="rect">
                            <a:avLst/>
                          </a:prstGeom>
                          <a:noFill/>
                          <a:ln w="9525">
                            <a:noFill/>
                            <a:miter lim="800000"/>
                            <a:headEnd/>
                            <a:tailEnd/>
                          </a:ln>
                        </pic:spPr>
                      </pic:pic>
                    </a:graphicData>
                  </a:graphic>
                </wp:inline>
              </w:drawing>
            </w:r>
          </w:p>
          <w:p w:rsidR="000459AD" w:rsidRDefault="000459AD" w:rsidP="008F0E25">
            <w:pPr>
              <w:rPr>
                <w:rFonts w:asciiTheme="minorHAnsi" w:hAnsiTheme="minorHAnsi" w:cs="Arial"/>
                <w:szCs w:val="24"/>
              </w:rPr>
            </w:pPr>
          </w:p>
        </w:tc>
        <w:tc>
          <w:tcPr>
            <w:tcW w:w="2790" w:type="dxa"/>
            <w:vAlign w:val="center"/>
          </w:tcPr>
          <w:p w:rsidR="00A02F4A" w:rsidRDefault="00A02F4A" w:rsidP="00A16B83">
            <w:pPr>
              <w:rPr>
                <w:rFonts w:asciiTheme="minorHAnsi" w:hAnsiTheme="minorHAnsi" w:cs="Arial"/>
                <w:sz w:val="22"/>
              </w:rPr>
            </w:pPr>
            <w:r>
              <w:rPr>
                <w:rFonts w:asciiTheme="minorHAnsi" w:hAnsiTheme="minorHAnsi" w:cs="Arial"/>
                <w:sz w:val="22"/>
              </w:rPr>
              <w:t>From the Illinois Board of Higher Education.</w:t>
            </w:r>
          </w:p>
          <w:p w:rsidR="00A02F4A" w:rsidRDefault="00A02F4A" w:rsidP="00A16B83">
            <w:pPr>
              <w:rPr>
                <w:rFonts w:asciiTheme="minorHAnsi" w:hAnsiTheme="minorHAnsi" w:cs="Arial"/>
                <w:sz w:val="22"/>
              </w:rPr>
            </w:pPr>
          </w:p>
          <w:p w:rsidR="00B2104E" w:rsidRPr="001A3277" w:rsidRDefault="00A02F4A" w:rsidP="00A16B83">
            <w:pPr>
              <w:rPr>
                <w:rFonts w:asciiTheme="minorHAnsi" w:hAnsiTheme="minorHAnsi" w:cs="Arial"/>
                <w:sz w:val="22"/>
              </w:rPr>
            </w:pPr>
            <w:r>
              <w:rPr>
                <w:rFonts w:asciiTheme="minorHAnsi" w:hAnsiTheme="minorHAnsi" w:cs="Arial"/>
                <w:sz w:val="22"/>
              </w:rPr>
              <w:t xml:space="preserve">Many things </w:t>
            </w:r>
            <w:r w:rsidR="001A3277" w:rsidRPr="001A3277">
              <w:rPr>
                <w:rFonts w:asciiTheme="minorHAnsi" w:hAnsiTheme="minorHAnsi" w:cs="Arial"/>
                <w:sz w:val="22"/>
              </w:rPr>
              <w:t xml:space="preserve"> go wrong here:</w:t>
            </w:r>
          </w:p>
          <w:p w:rsidR="00A16B83" w:rsidRPr="00A16B83" w:rsidRDefault="001A3277" w:rsidP="00A16B83">
            <w:pPr>
              <w:pStyle w:val="ListParagraph"/>
              <w:numPr>
                <w:ilvl w:val="0"/>
                <w:numId w:val="15"/>
              </w:numPr>
              <w:rPr>
                <w:rFonts w:asciiTheme="minorHAnsi" w:hAnsiTheme="minorHAnsi" w:cs="Arial"/>
                <w:sz w:val="22"/>
              </w:rPr>
            </w:pPr>
            <w:r w:rsidRPr="00A16B83">
              <w:rPr>
                <w:rFonts w:asciiTheme="minorHAnsi" w:hAnsiTheme="minorHAnsi" w:cs="Arial"/>
                <w:sz w:val="22"/>
              </w:rPr>
              <w:t>Rotated 3-D</w:t>
            </w:r>
            <w:r w:rsidR="00A02F4A" w:rsidRPr="00A16B83">
              <w:rPr>
                <w:rFonts w:asciiTheme="minorHAnsi" w:hAnsiTheme="minorHAnsi" w:cs="Arial"/>
                <w:sz w:val="22"/>
              </w:rPr>
              <w:t>,</w:t>
            </w:r>
            <w:r w:rsidR="00A16B83">
              <w:rPr>
                <w:rFonts w:asciiTheme="minorHAnsi" w:hAnsiTheme="minorHAnsi" w:cs="Arial"/>
                <w:sz w:val="22"/>
              </w:rPr>
              <w:t>.</w:t>
            </w:r>
          </w:p>
          <w:p w:rsidR="00A16B83" w:rsidRPr="00A16B83" w:rsidRDefault="001A3277" w:rsidP="00A16B83">
            <w:pPr>
              <w:pStyle w:val="ListParagraph"/>
              <w:numPr>
                <w:ilvl w:val="0"/>
                <w:numId w:val="15"/>
              </w:numPr>
              <w:rPr>
                <w:rFonts w:asciiTheme="minorHAnsi" w:hAnsiTheme="minorHAnsi" w:cs="Arial"/>
                <w:sz w:val="22"/>
              </w:rPr>
            </w:pPr>
            <w:r w:rsidRPr="00A16B83">
              <w:rPr>
                <w:rFonts w:asciiTheme="minorHAnsi" w:hAnsiTheme="minorHAnsi" w:cs="Arial"/>
                <w:sz w:val="22"/>
              </w:rPr>
              <w:t>Alphabetical sorting</w:t>
            </w:r>
            <w:r w:rsidR="00A16B83">
              <w:rPr>
                <w:rFonts w:asciiTheme="minorHAnsi" w:hAnsiTheme="minorHAnsi" w:cs="Arial"/>
                <w:sz w:val="22"/>
              </w:rPr>
              <w:t>.</w:t>
            </w:r>
            <w:r w:rsidR="00A16B83" w:rsidRPr="00A16B83">
              <w:rPr>
                <w:rFonts w:asciiTheme="minorHAnsi" w:hAnsiTheme="minorHAnsi" w:cs="Arial"/>
                <w:sz w:val="22"/>
              </w:rPr>
              <w:t xml:space="preserve"> </w:t>
            </w:r>
          </w:p>
          <w:p w:rsidR="001A3277" w:rsidRPr="00A16B83" w:rsidRDefault="001A3277" w:rsidP="00A16B83">
            <w:pPr>
              <w:pStyle w:val="ListParagraph"/>
              <w:numPr>
                <w:ilvl w:val="0"/>
                <w:numId w:val="15"/>
              </w:numPr>
              <w:rPr>
                <w:rFonts w:asciiTheme="minorHAnsi" w:hAnsiTheme="minorHAnsi" w:cs="Arial"/>
                <w:sz w:val="22"/>
              </w:rPr>
            </w:pPr>
            <w:r w:rsidRPr="00A16B83">
              <w:rPr>
                <w:rFonts w:asciiTheme="minorHAnsi" w:hAnsiTheme="minorHAnsi" w:cs="Arial"/>
                <w:sz w:val="22"/>
              </w:rPr>
              <w:t>White border</w:t>
            </w:r>
            <w:r w:rsidR="00DD46D7" w:rsidRPr="00A16B83">
              <w:rPr>
                <w:rFonts w:asciiTheme="minorHAnsi" w:hAnsiTheme="minorHAnsi" w:cs="Arial"/>
                <w:sz w:val="22"/>
              </w:rPr>
              <w:t>s on the graduate bar</w:t>
            </w:r>
          </w:p>
          <w:p w:rsidR="001A3277" w:rsidRDefault="001A3277" w:rsidP="00A16B83">
            <w:pPr>
              <w:rPr>
                <w:rFonts w:asciiTheme="minorHAnsi" w:hAnsiTheme="minorHAnsi" w:cs="Arial"/>
                <w:szCs w:val="24"/>
              </w:rPr>
            </w:pPr>
          </w:p>
        </w:tc>
      </w:tr>
      <w:tr w:rsidR="00B2104E" w:rsidRPr="00A02F4A" w:rsidTr="00A16B83">
        <w:tc>
          <w:tcPr>
            <w:tcW w:w="6750" w:type="dxa"/>
            <w:gridSpan w:val="2"/>
          </w:tcPr>
          <w:p w:rsidR="00B2104E" w:rsidRDefault="00B2104E" w:rsidP="008F0E25">
            <w:pPr>
              <w:rPr>
                <w:rFonts w:asciiTheme="minorHAnsi" w:hAnsiTheme="minorHAnsi" w:cs="Arial"/>
                <w:szCs w:val="24"/>
              </w:rPr>
            </w:pPr>
            <w:r>
              <w:rPr>
                <w:rFonts w:asciiTheme="minorHAnsi" w:hAnsiTheme="minorHAnsi" w:cs="Arial"/>
                <w:noProof/>
                <w:szCs w:val="24"/>
              </w:rPr>
              <w:drawing>
                <wp:inline distT="0" distB="0" distL="0" distR="0">
                  <wp:extent cx="3920490" cy="2346518"/>
                  <wp:effectExtent l="19050" t="0" r="3810" b="0"/>
                  <wp:docPr id="25" name="Picture 24" descr="bad_c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_ch2.gif"/>
                          <pic:cNvPicPr/>
                        </pic:nvPicPr>
                        <pic:blipFill>
                          <a:blip r:embed="rId20" cstate="print"/>
                          <a:stretch>
                            <a:fillRect/>
                          </a:stretch>
                        </pic:blipFill>
                        <pic:spPr>
                          <a:xfrm>
                            <a:off x="0" y="0"/>
                            <a:ext cx="3924103" cy="2348681"/>
                          </a:xfrm>
                          <a:prstGeom prst="rect">
                            <a:avLst/>
                          </a:prstGeom>
                        </pic:spPr>
                      </pic:pic>
                    </a:graphicData>
                  </a:graphic>
                </wp:inline>
              </w:drawing>
            </w:r>
          </w:p>
        </w:tc>
        <w:tc>
          <w:tcPr>
            <w:tcW w:w="2790" w:type="dxa"/>
            <w:vAlign w:val="center"/>
          </w:tcPr>
          <w:p w:rsidR="00B2104E" w:rsidRDefault="001A3277" w:rsidP="00A16B83">
            <w:pPr>
              <w:rPr>
                <w:rFonts w:asciiTheme="minorHAnsi" w:hAnsiTheme="minorHAnsi" w:cs="Arial"/>
                <w:szCs w:val="24"/>
              </w:rPr>
            </w:pPr>
            <w:r w:rsidRPr="00A02F4A">
              <w:rPr>
                <w:rFonts w:asciiTheme="minorHAnsi" w:hAnsiTheme="minorHAnsi" w:cs="Arial"/>
                <w:sz w:val="22"/>
              </w:rPr>
              <w:t>Sorting the</w:t>
            </w:r>
            <w:r w:rsidR="00A16B83">
              <w:rPr>
                <w:rFonts w:asciiTheme="minorHAnsi" w:hAnsiTheme="minorHAnsi" w:cs="Arial"/>
                <w:sz w:val="22"/>
              </w:rPr>
              <w:t>se</w:t>
            </w:r>
            <w:r w:rsidRPr="00A02F4A">
              <w:rPr>
                <w:rFonts w:asciiTheme="minorHAnsi" w:hAnsiTheme="minorHAnsi" w:cs="Arial"/>
                <w:sz w:val="22"/>
              </w:rPr>
              <w:t xml:space="preserve"> data permits </w:t>
            </w:r>
            <w:r w:rsidR="00DD46D7" w:rsidRPr="00A02F4A">
              <w:rPr>
                <w:rFonts w:asciiTheme="minorHAnsi" w:hAnsiTheme="minorHAnsi" w:cs="Arial"/>
                <w:sz w:val="22"/>
              </w:rPr>
              <w:t>you</w:t>
            </w:r>
            <w:r w:rsidRPr="00A02F4A">
              <w:rPr>
                <w:rFonts w:asciiTheme="minorHAnsi" w:hAnsiTheme="minorHAnsi" w:cs="Arial"/>
                <w:sz w:val="22"/>
              </w:rPr>
              <w:t xml:space="preserve"> to quickly observe </w:t>
            </w:r>
            <w:r w:rsidR="00A16B83">
              <w:rPr>
                <w:rFonts w:asciiTheme="minorHAnsi" w:hAnsiTheme="minorHAnsi" w:cs="Arial"/>
                <w:sz w:val="22"/>
              </w:rPr>
              <w:t xml:space="preserve">the </w:t>
            </w:r>
            <w:r w:rsidRPr="00A02F4A">
              <w:rPr>
                <w:rFonts w:asciiTheme="minorHAnsi" w:hAnsiTheme="minorHAnsi" w:cs="Arial"/>
                <w:sz w:val="22"/>
              </w:rPr>
              <w:t xml:space="preserve">high, low, and median universities, which </w:t>
            </w:r>
            <w:r w:rsidR="00A16B83">
              <w:rPr>
                <w:rFonts w:asciiTheme="minorHAnsi" w:hAnsiTheme="minorHAnsi" w:cs="Arial"/>
                <w:sz w:val="22"/>
              </w:rPr>
              <w:t xml:space="preserve">schools </w:t>
            </w:r>
            <w:r w:rsidRPr="00A02F4A">
              <w:rPr>
                <w:rFonts w:asciiTheme="minorHAnsi" w:hAnsiTheme="minorHAnsi" w:cs="Arial"/>
                <w:sz w:val="22"/>
              </w:rPr>
              <w:t>charge less for graduate school than undergra</w:t>
            </w:r>
            <w:r w:rsidR="00DD46D7" w:rsidRPr="00A02F4A">
              <w:rPr>
                <w:rFonts w:asciiTheme="minorHAnsi" w:hAnsiTheme="minorHAnsi" w:cs="Arial"/>
                <w:sz w:val="22"/>
              </w:rPr>
              <w:t>d, and where your  own school ranks.</w:t>
            </w:r>
          </w:p>
        </w:tc>
      </w:tr>
      <w:tr w:rsidR="00A02F4A" w:rsidTr="00A16B83">
        <w:trPr>
          <w:trHeight w:val="4391"/>
        </w:trPr>
        <w:tc>
          <w:tcPr>
            <w:tcW w:w="6750" w:type="dxa"/>
            <w:gridSpan w:val="2"/>
            <w:vMerge w:val="restart"/>
          </w:tcPr>
          <w:p w:rsidR="00A02F4A" w:rsidRDefault="00A02F4A" w:rsidP="008F0E25">
            <w:pPr>
              <w:pBdr>
                <w:bottom w:val="single" w:sz="6" w:space="1" w:color="auto"/>
              </w:pBdr>
              <w:rPr>
                <w:rFonts w:asciiTheme="minorHAnsi" w:hAnsiTheme="minorHAnsi" w:cs="Arial"/>
                <w:szCs w:val="24"/>
              </w:rPr>
            </w:pPr>
            <w:r w:rsidRPr="001A3277">
              <w:rPr>
                <w:rFonts w:asciiTheme="minorHAnsi" w:hAnsiTheme="minorHAnsi" w:cs="Arial"/>
                <w:noProof/>
                <w:szCs w:val="24"/>
              </w:rPr>
              <w:lastRenderedPageBreak/>
              <w:drawing>
                <wp:inline distT="0" distB="0" distL="0" distR="0">
                  <wp:extent cx="4030435" cy="3074545"/>
                  <wp:effectExtent l="19050" t="0" r="8165" b="0"/>
                  <wp:docPr id="68" name="Picture 25" descr="bad_ch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_ch42.gif"/>
                          <pic:cNvPicPr/>
                        </pic:nvPicPr>
                        <pic:blipFill>
                          <a:blip r:embed="rId21" cstate="print"/>
                          <a:stretch>
                            <a:fillRect/>
                          </a:stretch>
                        </pic:blipFill>
                        <pic:spPr>
                          <a:xfrm>
                            <a:off x="0" y="0"/>
                            <a:ext cx="4030549" cy="3074632"/>
                          </a:xfrm>
                          <a:prstGeom prst="rect">
                            <a:avLst/>
                          </a:prstGeom>
                        </pic:spPr>
                      </pic:pic>
                    </a:graphicData>
                  </a:graphic>
                </wp:inline>
              </w:drawing>
            </w:r>
          </w:p>
          <w:p w:rsidR="000459AD" w:rsidRDefault="000459AD" w:rsidP="008F0E25">
            <w:pPr>
              <w:pBdr>
                <w:bottom w:val="single" w:sz="6" w:space="1" w:color="auto"/>
              </w:pBdr>
              <w:rPr>
                <w:rFonts w:asciiTheme="minorHAnsi" w:hAnsiTheme="minorHAnsi" w:cs="Arial"/>
                <w:szCs w:val="24"/>
              </w:rPr>
            </w:pPr>
          </w:p>
          <w:p w:rsidR="000459AD" w:rsidRDefault="000459AD" w:rsidP="008F0E25">
            <w:pPr>
              <w:pBdr>
                <w:bottom w:val="single" w:sz="6" w:space="1" w:color="auto"/>
              </w:pBdr>
              <w:rPr>
                <w:rFonts w:asciiTheme="minorHAnsi" w:hAnsiTheme="minorHAnsi" w:cs="Arial"/>
                <w:szCs w:val="24"/>
              </w:rPr>
            </w:pPr>
          </w:p>
          <w:p w:rsidR="000459AD" w:rsidRDefault="000459AD" w:rsidP="008F0E25">
            <w:pPr>
              <w:pBdr>
                <w:bottom w:val="single" w:sz="6" w:space="1" w:color="auto"/>
              </w:pBdr>
              <w:rPr>
                <w:rFonts w:asciiTheme="minorHAnsi" w:hAnsiTheme="minorHAnsi" w:cs="Arial"/>
                <w:szCs w:val="24"/>
              </w:rPr>
            </w:pPr>
          </w:p>
          <w:p w:rsidR="000459AD" w:rsidRDefault="000459AD" w:rsidP="008F0E25">
            <w:pPr>
              <w:pBdr>
                <w:bottom w:val="single" w:sz="6" w:space="1" w:color="auto"/>
              </w:pBdr>
              <w:rPr>
                <w:rFonts w:asciiTheme="minorHAnsi" w:hAnsiTheme="minorHAnsi" w:cs="Arial"/>
                <w:szCs w:val="24"/>
              </w:rPr>
            </w:pPr>
          </w:p>
          <w:p w:rsidR="000459AD" w:rsidRDefault="000459AD" w:rsidP="008F0E25">
            <w:pPr>
              <w:pBdr>
                <w:bottom w:val="single" w:sz="6" w:space="1" w:color="auto"/>
              </w:pBdr>
              <w:rPr>
                <w:rFonts w:asciiTheme="minorHAnsi" w:hAnsiTheme="minorHAnsi" w:cs="Arial"/>
                <w:szCs w:val="24"/>
              </w:rPr>
            </w:pPr>
          </w:p>
          <w:p w:rsidR="00A02F4A" w:rsidRDefault="00A02F4A" w:rsidP="008F0E25">
            <w:pPr>
              <w:rPr>
                <w:rFonts w:asciiTheme="minorHAnsi" w:hAnsiTheme="minorHAnsi" w:cs="Arial"/>
                <w:szCs w:val="24"/>
              </w:rPr>
            </w:pPr>
          </w:p>
          <w:p w:rsidR="00A02F4A" w:rsidRDefault="00A02F4A" w:rsidP="008F0E25">
            <w:pPr>
              <w:rPr>
                <w:rFonts w:asciiTheme="minorHAnsi" w:hAnsiTheme="minorHAnsi" w:cs="Arial"/>
                <w:szCs w:val="24"/>
              </w:rPr>
            </w:pPr>
            <w:r w:rsidRPr="00B2104E">
              <w:rPr>
                <w:rFonts w:asciiTheme="minorHAnsi" w:hAnsiTheme="minorHAnsi" w:cs="Arial"/>
                <w:noProof/>
                <w:szCs w:val="24"/>
              </w:rPr>
              <w:drawing>
                <wp:inline distT="0" distB="0" distL="0" distR="0">
                  <wp:extent cx="4030435" cy="3048000"/>
                  <wp:effectExtent l="19050" t="0" r="8165" b="0"/>
                  <wp:docPr id="69" name="Picture 1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a:stretch>
                            <a:fillRect/>
                          </a:stretch>
                        </pic:blipFill>
                        <pic:spPr bwMode="auto">
                          <a:xfrm>
                            <a:off x="0" y="0"/>
                            <a:ext cx="4034102" cy="3050773"/>
                          </a:xfrm>
                          <a:prstGeom prst="rect">
                            <a:avLst/>
                          </a:prstGeom>
                          <a:noFill/>
                          <a:ln w="9525">
                            <a:noFill/>
                            <a:miter lim="800000"/>
                            <a:headEnd/>
                            <a:tailEnd/>
                          </a:ln>
                        </pic:spPr>
                      </pic:pic>
                    </a:graphicData>
                  </a:graphic>
                </wp:inline>
              </w:drawing>
            </w:r>
          </w:p>
        </w:tc>
        <w:tc>
          <w:tcPr>
            <w:tcW w:w="2790" w:type="dxa"/>
            <w:vAlign w:val="center"/>
          </w:tcPr>
          <w:p w:rsidR="00AA54B5" w:rsidRDefault="00A02F4A" w:rsidP="00A16B83">
            <w:pPr>
              <w:rPr>
                <w:rFonts w:asciiTheme="minorHAnsi" w:hAnsiTheme="minorHAnsi" w:cs="Arial"/>
                <w:sz w:val="22"/>
              </w:rPr>
            </w:pPr>
            <w:r w:rsidRPr="00A02F4A">
              <w:rPr>
                <w:rFonts w:asciiTheme="minorHAnsi" w:hAnsiTheme="minorHAnsi" w:cs="Arial"/>
                <w:sz w:val="22"/>
              </w:rPr>
              <w:t>Brought to you by the s</w:t>
            </w:r>
            <w:r w:rsidR="00AA54B5">
              <w:rPr>
                <w:rFonts w:asciiTheme="minorHAnsi" w:hAnsiTheme="minorHAnsi" w:cs="Arial"/>
                <w:sz w:val="22"/>
              </w:rPr>
              <w:t>ame folks who did the last one.</w:t>
            </w:r>
          </w:p>
          <w:p w:rsidR="00A02F4A" w:rsidRDefault="00AA54B5" w:rsidP="00A16B83">
            <w:pPr>
              <w:rPr>
                <w:rFonts w:asciiTheme="minorHAnsi" w:hAnsiTheme="minorHAnsi" w:cs="Arial"/>
                <w:sz w:val="22"/>
              </w:rPr>
            </w:pPr>
            <w:r>
              <w:rPr>
                <w:rFonts w:asciiTheme="minorHAnsi" w:hAnsiTheme="minorHAnsi" w:cs="Arial"/>
                <w:sz w:val="22"/>
              </w:rPr>
              <w:br/>
            </w:r>
            <w:r w:rsidR="00A02F4A" w:rsidRPr="00A02F4A">
              <w:rPr>
                <w:rFonts w:asciiTheme="minorHAnsi" w:hAnsiTheme="minorHAnsi" w:cs="Arial"/>
                <w:sz w:val="22"/>
              </w:rPr>
              <w:t xml:space="preserve"> Part of the problem is the </w:t>
            </w:r>
            <w:r w:rsidR="00A16B83">
              <w:rPr>
                <w:rFonts w:asciiTheme="minorHAnsi" w:hAnsiTheme="minorHAnsi" w:cs="Arial"/>
                <w:sz w:val="22"/>
              </w:rPr>
              <w:br/>
            </w:r>
            <w:r w:rsidR="00A02F4A" w:rsidRPr="00A02F4A">
              <w:rPr>
                <w:rFonts w:asciiTheme="minorHAnsi" w:hAnsiTheme="minorHAnsi" w:cs="Arial"/>
                <w:sz w:val="22"/>
              </w:rPr>
              <w:t xml:space="preserve">3-D and part that the community colleges </w:t>
            </w:r>
            <w:r w:rsidR="00A16B83">
              <w:rPr>
                <w:rFonts w:asciiTheme="minorHAnsi" w:hAnsiTheme="minorHAnsi" w:cs="Arial"/>
                <w:sz w:val="22"/>
              </w:rPr>
              <w:t xml:space="preserve"> domin-ate</w:t>
            </w:r>
            <w:r w:rsidR="00A02F4A" w:rsidRPr="00A02F4A">
              <w:rPr>
                <w:rFonts w:asciiTheme="minorHAnsi" w:hAnsiTheme="minorHAnsi" w:cs="Arial"/>
                <w:sz w:val="22"/>
              </w:rPr>
              <w:t xml:space="preserve"> the rest of the scale. </w:t>
            </w:r>
            <w:r>
              <w:rPr>
                <w:rFonts w:asciiTheme="minorHAnsi" w:hAnsiTheme="minorHAnsi" w:cs="Arial"/>
                <w:sz w:val="22"/>
              </w:rPr>
              <w:br/>
            </w:r>
            <w:r w:rsidR="00A02F4A">
              <w:rPr>
                <w:rFonts w:asciiTheme="minorHAnsi" w:hAnsiTheme="minorHAnsi" w:cs="Arial"/>
                <w:sz w:val="22"/>
              </w:rPr>
              <w:t xml:space="preserve"> But the most serious problem is that time goes backwards.</w:t>
            </w:r>
          </w:p>
          <w:p w:rsidR="00A16B83" w:rsidRDefault="00A16B83" w:rsidP="00A16B83">
            <w:pPr>
              <w:rPr>
                <w:rFonts w:asciiTheme="minorHAnsi" w:hAnsiTheme="minorHAnsi" w:cs="Arial"/>
                <w:sz w:val="22"/>
              </w:rPr>
            </w:pPr>
          </w:p>
          <w:p w:rsidR="00A16B83" w:rsidRDefault="00A16B83" w:rsidP="00A16B83">
            <w:pPr>
              <w:rPr>
                <w:rFonts w:asciiTheme="minorHAnsi" w:hAnsiTheme="minorHAnsi" w:cs="Arial"/>
                <w:sz w:val="22"/>
              </w:rPr>
            </w:pPr>
            <w:r w:rsidRPr="00A02F4A">
              <w:rPr>
                <w:rFonts w:asciiTheme="minorHAnsi" w:hAnsiTheme="minorHAnsi" w:cs="Arial"/>
                <w:sz w:val="22"/>
              </w:rPr>
              <w:t>It is almost impossible to tell from the chart that private school enrollments are increasing at a much faster rate than public university enrollments</w:t>
            </w:r>
          </w:p>
          <w:p w:rsidR="000459AD" w:rsidRPr="00A02F4A" w:rsidRDefault="000459AD" w:rsidP="00A16B83">
            <w:pPr>
              <w:rPr>
                <w:rFonts w:asciiTheme="minorHAnsi" w:hAnsiTheme="minorHAnsi" w:cs="Arial"/>
                <w:sz w:val="22"/>
              </w:rPr>
            </w:pPr>
          </w:p>
        </w:tc>
      </w:tr>
      <w:tr w:rsidR="00A02F4A" w:rsidTr="00A16B83">
        <w:trPr>
          <w:trHeight w:val="4812"/>
        </w:trPr>
        <w:tc>
          <w:tcPr>
            <w:tcW w:w="6750" w:type="dxa"/>
            <w:gridSpan w:val="2"/>
            <w:vMerge/>
          </w:tcPr>
          <w:p w:rsidR="00A02F4A" w:rsidRPr="001A3277" w:rsidRDefault="00A02F4A" w:rsidP="008F0E25">
            <w:pPr>
              <w:pBdr>
                <w:bottom w:val="single" w:sz="6" w:space="1" w:color="auto"/>
              </w:pBdr>
              <w:rPr>
                <w:rFonts w:asciiTheme="minorHAnsi" w:hAnsiTheme="minorHAnsi" w:cs="Arial"/>
                <w:szCs w:val="24"/>
              </w:rPr>
            </w:pPr>
          </w:p>
        </w:tc>
        <w:tc>
          <w:tcPr>
            <w:tcW w:w="2790" w:type="dxa"/>
            <w:vAlign w:val="center"/>
          </w:tcPr>
          <w:p w:rsidR="00A02F4A" w:rsidRDefault="00A02F4A" w:rsidP="00A16B83">
            <w:pPr>
              <w:rPr>
                <w:rFonts w:asciiTheme="minorHAnsi" w:hAnsiTheme="minorHAnsi" w:cs="Arial"/>
                <w:sz w:val="22"/>
              </w:rPr>
            </w:pPr>
          </w:p>
          <w:p w:rsidR="00A02F4A" w:rsidRPr="00A02F4A" w:rsidRDefault="00A02F4A" w:rsidP="00A16B83">
            <w:pPr>
              <w:rPr>
                <w:rFonts w:asciiTheme="minorHAnsi" w:hAnsiTheme="minorHAnsi" w:cs="Arial"/>
                <w:sz w:val="22"/>
              </w:rPr>
            </w:pPr>
            <w:r>
              <w:rPr>
                <w:rFonts w:asciiTheme="minorHAnsi" w:hAnsiTheme="minorHAnsi" w:cs="Arial"/>
                <w:sz w:val="22"/>
              </w:rPr>
              <w:t>Serious scaling problems here, and this is the second state of Illinois agency</w:t>
            </w:r>
            <w:r w:rsidR="00A16B83">
              <w:rPr>
                <w:rFonts w:asciiTheme="minorHAnsi" w:hAnsiTheme="minorHAnsi" w:cs="Arial"/>
                <w:sz w:val="22"/>
              </w:rPr>
              <w:t xml:space="preserve"> to have time go backwards</w:t>
            </w:r>
          </w:p>
        </w:tc>
      </w:tr>
      <w:tr w:rsidR="00B2104E" w:rsidTr="00A16B83">
        <w:tc>
          <w:tcPr>
            <w:tcW w:w="9540" w:type="dxa"/>
            <w:gridSpan w:val="3"/>
          </w:tcPr>
          <w:p w:rsidR="00A16B83" w:rsidRDefault="00A16B83" w:rsidP="008F0E25">
            <w:pPr>
              <w:rPr>
                <w:rFonts w:asciiTheme="minorHAnsi" w:hAnsiTheme="minorHAnsi" w:cs="Arial"/>
                <w:szCs w:val="24"/>
              </w:rPr>
            </w:pPr>
          </w:p>
          <w:p w:rsidR="00A16B83" w:rsidRDefault="00A16B83" w:rsidP="008F0E25">
            <w:pPr>
              <w:rPr>
                <w:rFonts w:asciiTheme="minorHAnsi" w:hAnsiTheme="minorHAnsi" w:cs="Arial"/>
                <w:szCs w:val="24"/>
              </w:rPr>
            </w:pPr>
          </w:p>
          <w:p w:rsidR="00A16B83" w:rsidRDefault="00A16B83" w:rsidP="008F0E25">
            <w:pPr>
              <w:rPr>
                <w:rFonts w:asciiTheme="minorHAnsi" w:hAnsiTheme="minorHAnsi" w:cs="Arial"/>
                <w:szCs w:val="24"/>
              </w:rPr>
            </w:pPr>
          </w:p>
          <w:p w:rsidR="00A16B83" w:rsidRDefault="00A16B83" w:rsidP="008F0E25">
            <w:pPr>
              <w:rPr>
                <w:rFonts w:asciiTheme="minorHAnsi" w:hAnsiTheme="minorHAnsi" w:cs="Arial"/>
                <w:szCs w:val="24"/>
              </w:rPr>
            </w:pPr>
          </w:p>
          <w:p w:rsidR="00A16B83" w:rsidRDefault="00A16B83" w:rsidP="008F0E25">
            <w:pPr>
              <w:rPr>
                <w:rFonts w:asciiTheme="minorHAnsi" w:hAnsiTheme="minorHAnsi" w:cs="Arial"/>
                <w:szCs w:val="24"/>
              </w:rPr>
            </w:pPr>
          </w:p>
          <w:p w:rsidR="00B2104E" w:rsidRDefault="00B2104E" w:rsidP="008F0E25">
            <w:pPr>
              <w:rPr>
                <w:rFonts w:asciiTheme="minorHAnsi" w:hAnsiTheme="minorHAnsi" w:cs="Arial"/>
                <w:szCs w:val="24"/>
              </w:rPr>
            </w:pPr>
            <w:r w:rsidRPr="00B2104E">
              <w:rPr>
                <w:rFonts w:asciiTheme="minorHAnsi" w:hAnsiTheme="minorHAnsi" w:cs="Arial"/>
                <w:noProof/>
                <w:szCs w:val="24"/>
              </w:rPr>
              <w:lastRenderedPageBreak/>
              <w:drawing>
                <wp:inline distT="0" distB="0" distL="0" distR="0">
                  <wp:extent cx="5913664" cy="2873828"/>
                  <wp:effectExtent l="19050" t="0" r="0" b="0"/>
                  <wp:docPr id="28" name="Pictur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srcRect/>
                          <a:stretch>
                            <a:fillRect/>
                          </a:stretch>
                        </pic:blipFill>
                        <pic:spPr bwMode="auto">
                          <a:xfrm>
                            <a:off x="0" y="0"/>
                            <a:ext cx="5916149" cy="2875036"/>
                          </a:xfrm>
                          <a:prstGeom prst="rect">
                            <a:avLst/>
                          </a:prstGeom>
                          <a:noFill/>
                          <a:ln w="9525">
                            <a:noFill/>
                            <a:miter lim="800000"/>
                            <a:headEnd/>
                            <a:tailEnd/>
                          </a:ln>
                        </pic:spPr>
                      </pic:pic>
                    </a:graphicData>
                  </a:graphic>
                </wp:inline>
              </w:drawing>
            </w:r>
          </w:p>
          <w:p w:rsidR="000459AD" w:rsidRDefault="000459AD" w:rsidP="008F0E25">
            <w:pPr>
              <w:rPr>
                <w:rFonts w:asciiTheme="minorHAnsi" w:hAnsiTheme="minorHAnsi" w:cs="Arial"/>
                <w:szCs w:val="24"/>
              </w:rPr>
            </w:pPr>
          </w:p>
          <w:p w:rsidR="000459AD" w:rsidRDefault="000459AD" w:rsidP="008F0E25">
            <w:pPr>
              <w:rPr>
                <w:rFonts w:asciiTheme="minorHAnsi" w:hAnsiTheme="minorHAnsi" w:cs="Arial"/>
                <w:szCs w:val="24"/>
              </w:rPr>
            </w:pPr>
          </w:p>
          <w:p w:rsidR="000459AD" w:rsidRDefault="000459AD" w:rsidP="008F0E25">
            <w:pPr>
              <w:rPr>
                <w:rFonts w:asciiTheme="minorHAnsi" w:hAnsiTheme="minorHAnsi" w:cs="Arial"/>
                <w:szCs w:val="24"/>
              </w:rPr>
            </w:pPr>
          </w:p>
          <w:p w:rsidR="000459AD" w:rsidRDefault="000459AD" w:rsidP="008F0E25">
            <w:pPr>
              <w:rPr>
                <w:rFonts w:asciiTheme="minorHAnsi" w:hAnsiTheme="minorHAnsi" w:cs="Arial"/>
                <w:szCs w:val="24"/>
              </w:rPr>
            </w:pPr>
          </w:p>
          <w:p w:rsidR="000459AD" w:rsidRDefault="000459AD" w:rsidP="008F0E25">
            <w:pPr>
              <w:rPr>
                <w:rFonts w:asciiTheme="minorHAnsi" w:hAnsiTheme="minorHAnsi" w:cs="Arial"/>
                <w:szCs w:val="24"/>
              </w:rPr>
            </w:pPr>
          </w:p>
        </w:tc>
      </w:tr>
      <w:tr w:rsidR="00A16B83" w:rsidTr="007B7BFB">
        <w:tc>
          <w:tcPr>
            <w:tcW w:w="4569" w:type="dxa"/>
            <w:vAlign w:val="center"/>
          </w:tcPr>
          <w:p w:rsidR="00A16B83" w:rsidRDefault="00A16B83" w:rsidP="00A16B83">
            <w:pPr>
              <w:jc w:val="center"/>
              <w:rPr>
                <w:rFonts w:asciiTheme="minorHAnsi" w:hAnsiTheme="minorHAnsi" w:cs="Arial"/>
                <w:szCs w:val="24"/>
              </w:rPr>
            </w:pPr>
            <w:r w:rsidRPr="00B2104E">
              <w:rPr>
                <w:rFonts w:asciiTheme="minorHAnsi" w:hAnsiTheme="minorHAnsi" w:cs="Arial"/>
                <w:noProof/>
                <w:szCs w:val="24"/>
              </w:rPr>
              <w:lastRenderedPageBreak/>
              <w:drawing>
                <wp:inline distT="0" distB="0" distL="0" distR="0">
                  <wp:extent cx="2764971" cy="2002972"/>
                  <wp:effectExtent l="0" t="0" r="0" b="0"/>
                  <wp:docPr id="7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71" w:type="dxa"/>
            <w:gridSpan w:val="2"/>
            <w:tcMar>
              <w:left w:w="230" w:type="dxa"/>
              <w:right w:w="634" w:type="dxa"/>
            </w:tcMar>
            <w:vAlign w:val="center"/>
          </w:tcPr>
          <w:p w:rsidR="00745F97" w:rsidRPr="00362CD4" w:rsidRDefault="00745F97" w:rsidP="00A16B83">
            <w:pPr>
              <w:rPr>
                <w:rFonts w:asciiTheme="minorHAnsi" w:hAnsiTheme="minorHAnsi" w:cs="Arial"/>
                <w:sz w:val="22"/>
              </w:rPr>
            </w:pPr>
            <w:r w:rsidRPr="00362CD4">
              <w:rPr>
                <w:rFonts w:asciiTheme="minorHAnsi" w:hAnsiTheme="minorHAnsi" w:cs="Arial"/>
                <w:sz w:val="22"/>
              </w:rPr>
              <w:t>Bar charts aren’t too bad when only one slice is important, but it takes time when you try to compare two slices across two graphs.</w:t>
            </w:r>
          </w:p>
          <w:p w:rsidR="00745F97" w:rsidRPr="00362CD4" w:rsidRDefault="00745F97" w:rsidP="00A16B83">
            <w:pPr>
              <w:rPr>
                <w:rFonts w:asciiTheme="minorHAnsi" w:hAnsiTheme="minorHAnsi" w:cs="Arial"/>
                <w:sz w:val="22"/>
              </w:rPr>
            </w:pPr>
            <w:r w:rsidRPr="00362CD4">
              <w:rPr>
                <w:rFonts w:asciiTheme="minorHAnsi" w:hAnsiTheme="minorHAnsi" w:cs="Arial"/>
                <w:sz w:val="22"/>
              </w:rPr>
              <w:t xml:space="preserve"> </w:t>
            </w:r>
          </w:p>
          <w:p w:rsidR="00A16B83" w:rsidRDefault="007B7BFB" w:rsidP="00A16B83">
            <w:pPr>
              <w:rPr>
                <w:rFonts w:asciiTheme="minorHAnsi" w:hAnsiTheme="minorHAnsi" w:cs="Arial"/>
                <w:szCs w:val="24"/>
              </w:rPr>
            </w:pPr>
            <w:r w:rsidRPr="00362CD4">
              <w:rPr>
                <w:rFonts w:asciiTheme="minorHAnsi" w:hAnsiTheme="minorHAnsi" w:cs="Arial"/>
                <w:sz w:val="22"/>
              </w:rPr>
              <w:t>Note how quickly the bar chart allows you to figure out that both categories of full time employment are in decline.</w:t>
            </w:r>
          </w:p>
        </w:tc>
      </w:tr>
    </w:tbl>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434FE9" w:rsidRDefault="00434FE9" w:rsidP="008F0E25">
      <w:pPr>
        <w:ind w:left="-360" w:firstLine="360"/>
        <w:rPr>
          <w:rFonts w:asciiTheme="minorHAnsi" w:hAnsiTheme="minorHAnsi" w:cs="Arial"/>
          <w:szCs w:val="24"/>
        </w:rPr>
      </w:pPr>
    </w:p>
    <w:p w:rsidR="006B65A0" w:rsidRDefault="006B65A0" w:rsidP="008F0E25">
      <w:pPr>
        <w:ind w:left="-360" w:firstLine="360"/>
        <w:rPr>
          <w:rFonts w:asciiTheme="minorHAnsi" w:hAnsiTheme="minorHAnsi" w:cs="Arial"/>
          <w:szCs w:val="24"/>
        </w:rPr>
      </w:pPr>
    </w:p>
    <w:p w:rsidR="006B65A0" w:rsidRDefault="006B65A0" w:rsidP="008F0E25">
      <w:pPr>
        <w:ind w:left="-360" w:firstLine="360"/>
        <w:rPr>
          <w:rFonts w:asciiTheme="minorHAnsi" w:hAnsiTheme="minorHAnsi" w:cs="Arial"/>
          <w:szCs w:val="24"/>
        </w:rPr>
      </w:pPr>
    </w:p>
    <w:p w:rsidR="006B65A0" w:rsidRDefault="006B65A0" w:rsidP="008F0E25">
      <w:pPr>
        <w:ind w:left="-360" w:firstLine="360"/>
        <w:rPr>
          <w:rFonts w:asciiTheme="minorHAnsi" w:hAnsiTheme="minorHAnsi" w:cs="Arial"/>
          <w:szCs w:val="24"/>
        </w:rPr>
      </w:pPr>
    </w:p>
    <w:p w:rsidR="00745F97" w:rsidRDefault="00745F97">
      <w:pPr>
        <w:rPr>
          <w:rFonts w:asciiTheme="minorHAnsi" w:hAnsiTheme="minorHAnsi" w:cs="Arial"/>
          <w:szCs w:val="24"/>
        </w:rPr>
      </w:pPr>
      <w:r>
        <w:rPr>
          <w:rFonts w:asciiTheme="minorHAnsi" w:hAnsiTheme="minorHAnsi" w:cs="Arial"/>
          <w:szCs w:val="24"/>
        </w:rPr>
        <w:br w:type="page"/>
      </w:r>
    </w:p>
    <w:p w:rsidR="00A173CF" w:rsidRPr="000459AD" w:rsidRDefault="000459AD" w:rsidP="00A173CF">
      <w:pPr>
        <w:rPr>
          <w:rStyle w:val="Hyperlink"/>
          <w:rFonts w:asciiTheme="minorHAnsi" w:hAnsiTheme="minorHAnsi" w:cs="Arial"/>
          <w:color w:val="000000" w:themeColor="text1"/>
          <w:sz w:val="22"/>
          <w:u w:val="none"/>
        </w:rPr>
      </w:pPr>
      <w:r>
        <w:rPr>
          <w:rStyle w:val="Hyperlink"/>
          <w:rFonts w:asciiTheme="minorHAnsi" w:hAnsiTheme="minorHAnsi" w:cs="Arial"/>
          <w:b/>
          <w:color w:val="000000" w:themeColor="text1"/>
          <w:sz w:val="22"/>
          <w:u w:val="none"/>
        </w:rPr>
        <w:lastRenderedPageBreak/>
        <w:t>A Couple Excel Features</w:t>
      </w:r>
      <w:r w:rsidRPr="000459AD">
        <w:rPr>
          <w:rStyle w:val="Hyperlink"/>
          <w:rFonts w:asciiTheme="minorHAnsi" w:hAnsiTheme="minorHAnsi" w:cs="Arial"/>
          <w:b/>
          <w:color w:val="000000" w:themeColor="text1"/>
          <w:sz w:val="22"/>
          <w:u w:val="none"/>
        </w:rPr>
        <w:t>:</w:t>
      </w:r>
      <w:r w:rsidR="009C0129">
        <w:rPr>
          <w:rStyle w:val="Hyperlink"/>
          <w:rFonts w:asciiTheme="minorHAnsi" w:hAnsiTheme="minorHAnsi" w:cs="Arial"/>
          <w:b/>
          <w:color w:val="000000" w:themeColor="text1"/>
          <w:sz w:val="22"/>
          <w:u w:val="none"/>
        </w:rPr>
        <w:t xml:space="preserve"> (</w:t>
      </w:r>
      <w:r w:rsidR="00A173CF" w:rsidRPr="000459AD">
        <w:rPr>
          <w:rStyle w:val="Hyperlink"/>
          <w:rFonts w:asciiTheme="minorHAnsi" w:hAnsiTheme="minorHAnsi" w:cs="Arial"/>
          <w:b/>
          <w:color w:val="000000" w:themeColor="text1"/>
          <w:sz w:val="22"/>
          <w:u w:val="none"/>
        </w:rPr>
        <w:t>2007</w:t>
      </w:r>
      <w:r w:rsidR="009C0129">
        <w:rPr>
          <w:rStyle w:val="Hyperlink"/>
          <w:rFonts w:asciiTheme="minorHAnsi" w:hAnsiTheme="minorHAnsi" w:cs="Arial"/>
          <w:color w:val="000000" w:themeColor="text1"/>
          <w:sz w:val="22"/>
          <w:u w:val="none"/>
        </w:rPr>
        <w:t>)</w:t>
      </w:r>
    </w:p>
    <w:p w:rsidR="00261F2E" w:rsidRDefault="00A173CF" w:rsidP="00171106">
      <w:pPr>
        <w:ind w:firstLine="720"/>
        <w:rPr>
          <w:rStyle w:val="Hyperlink"/>
          <w:rFonts w:asciiTheme="minorHAnsi" w:hAnsiTheme="minorHAnsi" w:cs="Arial"/>
          <w:color w:val="000000" w:themeColor="text1"/>
          <w:sz w:val="20"/>
          <w:szCs w:val="20"/>
          <w:u w:val="none"/>
        </w:rPr>
      </w:pPr>
      <w:r w:rsidRPr="00171106">
        <w:rPr>
          <w:rStyle w:val="Hyperlink"/>
          <w:rFonts w:asciiTheme="minorHAnsi" w:hAnsiTheme="minorHAnsi" w:cs="Arial"/>
          <w:b/>
          <w:color w:val="000000" w:themeColor="text1"/>
          <w:sz w:val="20"/>
          <w:szCs w:val="20"/>
          <w:u w:val="none"/>
        </w:rPr>
        <w:t>Styles</w:t>
      </w:r>
      <w:r>
        <w:rPr>
          <w:rStyle w:val="Hyperlink"/>
          <w:rFonts w:asciiTheme="minorHAnsi" w:hAnsiTheme="minorHAnsi" w:cs="Arial"/>
          <w:color w:val="000000" w:themeColor="text1"/>
          <w:sz w:val="20"/>
          <w:szCs w:val="20"/>
          <w:u w:val="none"/>
        </w:rPr>
        <w:t xml:space="preserve">: </w:t>
      </w:r>
      <w:r w:rsidR="00261F2E">
        <w:rPr>
          <w:rStyle w:val="Hyperlink"/>
          <w:rFonts w:asciiTheme="minorHAnsi" w:hAnsiTheme="minorHAnsi" w:cs="Arial"/>
          <w:color w:val="000000" w:themeColor="text1"/>
          <w:sz w:val="20"/>
          <w:szCs w:val="20"/>
          <w:u w:val="none"/>
        </w:rPr>
        <w:t>The entire data range below uses the style “format as a table”</w:t>
      </w:r>
      <w:r w:rsidR="00026854">
        <w:rPr>
          <w:rStyle w:val="Hyperlink"/>
          <w:rFonts w:asciiTheme="minorHAnsi" w:hAnsiTheme="minorHAnsi" w:cs="Arial"/>
          <w:color w:val="000000" w:themeColor="text1"/>
          <w:sz w:val="20"/>
          <w:szCs w:val="20"/>
          <w:u w:val="none"/>
        </w:rPr>
        <w:t>, allowing</w:t>
      </w:r>
      <w:r w:rsidR="00261F2E">
        <w:rPr>
          <w:rStyle w:val="Hyperlink"/>
          <w:rFonts w:asciiTheme="minorHAnsi" w:hAnsiTheme="minorHAnsi" w:cs="Arial"/>
          <w:color w:val="000000" w:themeColor="text1"/>
          <w:sz w:val="20"/>
          <w:szCs w:val="20"/>
          <w:u w:val="none"/>
        </w:rPr>
        <w:t xml:space="preserve"> one-click sorting of the data by each table column. The three data ranges are formatted using the style “format-data bars.” There are several limitations on the formatting of these styles (</w:t>
      </w:r>
      <w:r w:rsidR="00026854">
        <w:rPr>
          <w:rStyle w:val="Hyperlink"/>
          <w:rFonts w:asciiTheme="minorHAnsi" w:hAnsiTheme="minorHAnsi" w:cs="Arial"/>
          <w:color w:val="000000" w:themeColor="text1"/>
          <w:sz w:val="20"/>
          <w:szCs w:val="20"/>
          <w:u w:val="none"/>
        </w:rPr>
        <w:t>The cells are formatted with a dark “fill”</w:t>
      </w:r>
      <w:r w:rsidR="00261F2E">
        <w:rPr>
          <w:rStyle w:val="Hyperlink"/>
          <w:rFonts w:asciiTheme="minorHAnsi" w:hAnsiTheme="minorHAnsi" w:cs="Arial"/>
          <w:color w:val="000000" w:themeColor="text1"/>
          <w:sz w:val="20"/>
          <w:szCs w:val="20"/>
          <w:u w:val="none"/>
        </w:rPr>
        <w:t xml:space="preserve"> </w:t>
      </w:r>
      <w:r w:rsidR="00026854">
        <w:rPr>
          <w:rStyle w:val="Hyperlink"/>
          <w:rFonts w:asciiTheme="minorHAnsi" w:hAnsiTheme="minorHAnsi" w:cs="Arial"/>
          <w:color w:val="000000" w:themeColor="text1"/>
          <w:sz w:val="20"/>
          <w:szCs w:val="20"/>
          <w:u w:val="none"/>
        </w:rPr>
        <w:t xml:space="preserve">because the bars are too light </w:t>
      </w:r>
      <w:r w:rsidR="00E0799F">
        <w:rPr>
          <w:rStyle w:val="Hyperlink"/>
          <w:rFonts w:asciiTheme="minorHAnsi" w:hAnsiTheme="minorHAnsi" w:cs="Arial"/>
          <w:color w:val="000000" w:themeColor="text1"/>
          <w:sz w:val="20"/>
          <w:szCs w:val="20"/>
          <w:u w:val="none"/>
        </w:rPr>
        <w:t>on the</w:t>
      </w:r>
      <w:r w:rsidR="00261F2E">
        <w:rPr>
          <w:rStyle w:val="Hyperlink"/>
          <w:rFonts w:asciiTheme="minorHAnsi" w:hAnsiTheme="minorHAnsi" w:cs="Arial"/>
          <w:color w:val="000000" w:themeColor="text1"/>
          <w:sz w:val="20"/>
          <w:szCs w:val="20"/>
          <w:u w:val="none"/>
        </w:rPr>
        <w:t xml:space="preserve"> right) that are due to be corrected in the next release of Office.</w:t>
      </w:r>
      <w:r w:rsidR="00311BF6">
        <w:rPr>
          <w:rStyle w:val="Hyperlink"/>
          <w:rFonts w:asciiTheme="minorHAnsi" w:hAnsiTheme="minorHAnsi" w:cs="Arial"/>
          <w:color w:val="000000" w:themeColor="text1"/>
          <w:sz w:val="20"/>
          <w:szCs w:val="20"/>
          <w:u w:val="none"/>
        </w:rPr>
        <w:t xml:space="preserve"> This table is sorted on the “Crime Index”:</w:t>
      </w:r>
    </w:p>
    <w:p w:rsidR="008F0E25" w:rsidRDefault="008F0E25" w:rsidP="00171106">
      <w:pPr>
        <w:ind w:firstLine="720"/>
        <w:rPr>
          <w:rStyle w:val="Hyperlink"/>
          <w:rFonts w:asciiTheme="minorHAnsi" w:hAnsiTheme="minorHAnsi" w:cs="Arial"/>
          <w:color w:val="000000" w:themeColor="text1"/>
          <w:sz w:val="20"/>
          <w:szCs w:val="20"/>
          <w:u w:val="none"/>
        </w:rPr>
      </w:pPr>
    </w:p>
    <w:p w:rsidR="008F0E25" w:rsidRDefault="008F0E25" w:rsidP="00171106">
      <w:pPr>
        <w:ind w:firstLine="720"/>
        <w:rPr>
          <w:rStyle w:val="Hyperlink"/>
          <w:rFonts w:asciiTheme="minorHAnsi" w:hAnsiTheme="minorHAnsi" w:cs="Arial"/>
          <w:color w:val="000000" w:themeColor="text1"/>
          <w:sz w:val="20"/>
          <w:szCs w:val="20"/>
          <w:u w:val="none"/>
        </w:rPr>
      </w:pPr>
      <w:r>
        <w:rPr>
          <w:rFonts w:asciiTheme="minorHAnsi" w:hAnsiTheme="minorHAnsi" w:cs="Arial"/>
          <w:noProof/>
          <w:color w:val="000000" w:themeColor="text1"/>
          <w:sz w:val="20"/>
          <w:szCs w:val="20"/>
        </w:rPr>
        <w:drawing>
          <wp:inline distT="0" distB="0" distL="0" distR="0">
            <wp:extent cx="3301093" cy="3143557"/>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305703" cy="3147947"/>
                    </a:xfrm>
                    <a:prstGeom prst="rect">
                      <a:avLst/>
                    </a:prstGeom>
                    <a:noFill/>
                    <a:ln w="9525">
                      <a:noFill/>
                      <a:miter lim="800000"/>
                      <a:headEnd/>
                      <a:tailEnd/>
                    </a:ln>
                  </pic:spPr>
                </pic:pic>
              </a:graphicData>
            </a:graphic>
          </wp:inline>
        </w:drawing>
      </w:r>
    </w:p>
    <w:p w:rsidR="008203CD" w:rsidRDefault="008203CD" w:rsidP="00171106">
      <w:pPr>
        <w:ind w:firstLine="720"/>
        <w:rPr>
          <w:rStyle w:val="Hyperlink"/>
          <w:rFonts w:asciiTheme="minorHAnsi" w:hAnsiTheme="minorHAnsi" w:cs="Arial"/>
          <w:color w:val="000000" w:themeColor="text1"/>
          <w:sz w:val="20"/>
          <w:szCs w:val="20"/>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42"/>
        <w:gridCol w:w="4494"/>
      </w:tblGrid>
      <w:tr w:rsidR="00745F97" w:rsidTr="008203CD">
        <w:tc>
          <w:tcPr>
            <w:tcW w:w="5442" w:type="dxa"/>
          </w:tcPr>
          <w:p w:rsidR="00745F97" w:rsidRDefault="00745F97" w:rsidP="008F0E25">
            <w:pPr>
              <w:rPr>
                <w:rFonts w:ascii="Calibri" w:eastAsia="Times New Roman" w:hAnsi="Calibri" w:cs="Times New Roman"/>
                <w:b/>
                <w:bCs/>
                <w:color w:val="000000"/>
                <w:sz w:val="22"/>
              </w:rPr>
            </w:pPr>
            <w:r w:rsidRPr="00745F97">
              <w:rPr>
                <w:rFonts w:ascii="Calibri" w:eastAsia="Times New Roman" w:hAnsi="Calibri" w:cs="Times New Roman"/>
                <w:b/>
                <w:bCs/>
                <w:noProof/>
                <w:color w:val="000000"/>
                <w:sz w:val="22"/>
              </w:rPr>
              <w:drawing>
                <wp:inline distT="0" distB="0" distL="0" distR="0">
                  <wp:extent cx="3299460" cy="4229100"/>
                  <wp:effectExtent l="19050" t="0" r="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299460" cy="4229100"/>
                          </a:xfrm>
                          <a:prstGeom prst="rect">
                            <a:avLst/>
                          </a:prstGeom>
                          <a:noFill/>
                          <a:ln w="9525">
                            <a:noFill/>
                            <a:miter lim="800000"/>
                            <a:headEnd/>
                            <a:tailEnd/>
                          </a:ln>
                        </pic:spPr>
                      </pic:pic>
                    </a:graphicData>
                  </a:graphic>
                </wp:inline>
              </w:drawing>
            </w:r>
          </w:p>
        </w:tc>
        <w:tc>
          <w:tcPr>
            <w:tcW w:w="4494" w:type="dxa"/>
          </w:tcPr>
          <w:p w:rsidR="00745F97" w:rsidRDefault="00745F97" w:rsidP="008F0E25">
            <w:pPr>
              <w:rPr>
                <w:rStyle w:val="Hyperlink"/>
                <w:rFonts w:asciiTheme="minorHAnsi" w:hAnsiTheme="minorHAnsi" w:cs="Arial"/>
                <w:color w:val="000000" w:themeColor="text1"/>
                <w:sz w:val="20"/>
                <w:szCs w:val="20"/>
                <w:u w:val="none"/>
              </w:rPr>
            </w:pPr>
          </w:p>
          <w:p w:rsidR="00745F97" w:rsidRDefault="00745F97" w:rsidP="00745F97">
            <w:pPr>
              <w:ind w:left="-720"/>
              <w:rPr>
                <w:rFonts w:asciiTheme="minorHAnsi" w:hAnsiTheme="minorHAnsi" w:cs="Arial"/>
                <w:sz w:val="18"/>
                <w:szCs w:val="18"/>
              </w:rPr>
            </w:pPr>
          </w:p>
          <w:p w:rsidR="008203CD" w:rsidRDefault="008203CD" w:rsidP="00745F97">
            <w:pPr>
              <w:rPr>
                <w:rFonts w:ascii="Calibri" w:eastAsia="Times New Roman" w:hAnsi="Calibri" w:cs="Times New Roman"/>
                <w:bCs/>
                <w:color w:val="000000"/>
                <w:sz w:val="22"/>
              </w:rPr>
            </w:pPr>
          </w:p>
          <w:p w:rsidR="008203CD" w:rsidRDefault="008203CD" w:rsidP="00745F97">
            <w:pPr>
              <w:rPr>
                <w:rFonts w:ascii="Calibri" w:eastAsia="Times New Roman" w:hAnsi="Calibri" w:cs="Times New Roman"/>
                <w:bCs/>
                <w:color w:val="000000"/>
                <w:sz w:val="22"/>
              </w:rPr>
            </w:pPr>
          </w:p>
          <w:p w:rsidR="00745F97" w:rsidRDefault="00745F97" w:rsidP="00745F97">
            <w:pPr>
              <w:rPr>
                <w:rFonts w:ascii="Calibri" w:eastAsia="Times New Roman" w:hAnsi="Calibri" w:cs="Times New Roman"/>
                <w:b/>
                <w:bCs/>
                <w:color w:val="000000"/>
                <w:sz w:val="22"/>
              </w:rPr>
            </w:pPr>
            <w:r w:rsidRPr="00745F97">
              <w:rPr>
                <w:rFonts w:ascii="Calibri" w:eastAsia="Times New Roman" w:hAnsi="Calibri" w:cs="Times New Roman"/>
                <w:bCs/>
                <w:color w:val="000000"/>
                <w:sz w:val="22"/>
              </w:rPr>
              <w:t>The chart on th</w:t>
            </w:r>
            <w:r w:rsidR="00AA54B5">
              <w:rPr>
                <w:rFonts w:ascii="Calibri" w:eastAsia="Times New Roman" w:hAnsi="Calibri" w:cs="Times New Roman"/>
                <w:bCs/>
                <w:color w:val="000000"/>
                <w:sz w:val="22"/>
              </w:rPr>
              <w:t>e left is an “in-cell” chart using</w:t>
            </w:r>
            <w:r w:rsidRPr="00745F97">
              <w:rPr>
                <w:rFonts w:ascii="Calibri" w:eastAsia="Times New Roman" w:hAnsi="Calibri" w:cs="Times New Roman"/>
                <w:bCs/>
                <w:color w:val="000000"/>
                <w:sz w:val="22"/>
              </w:rPr>
              <w:t xml:space="preserve"> this formula, copied down the </w:t>
            </w:r>
            <w:r w:rsidR="00AA54B5">
              <w:rPr>
                <w:rFonts w:ascii="Calibri" w:eastAsia="Times New Roman" w:hAnsi="Calibri" w:cs="Times New Roman"/>
                <w:bCs/>
                <w:color w:val="000000"/>
                <w:sz w:val="22"/>
              </w:rPr>
              <w:t>column</w:t>
            </w:r>
            <w:r w:rsidRPr="00745F97">
              <w:rPr>
                <w:rFonts w:ascii="Calibri" w:eastAsia="Times New Roman" w:hAnsi="Calibri" w:cs="Times New Roman"/>
                <w:bCs/>
                <w:color w:val="000000"/>
                <w:sz w:val="22"/>
              </w:rPr>
              <w:t>:</w:t>
            </w:r>
            <w:r>
              <w:rPr>
                <w:rFonts w:ascii="Calibri" w:eastAsia="Times New Roman" w:hAnsi="Calibri" w:cs="Times New Roman"/>
                <w:b/>
                <w:bCs/>
                <w:color w:val="000000"/>
                <w:sz w:val="22"/>
              </w:rPr>
              <w:t xml:space="preserve"> </w:t>
            </w:r>
          </w:p>
          <w:p w:rsidR="00745F97" w:rsidRPr="00745F97" w:rsidRDefault="00745F97" w:rsidP="00745F97">
            <w:pPr>
              <w:rPr>
                <w:rFonts w:ascii="Calibri" w:eastAsia="Times New Roman" w:hAnsi="Calibri" w:cs="Times New Roman"/>
                <w:b/>
                <w:bCs/>
                <w:color w:val="000000"/>
                <w:szCs w:val="24"/>
              </w:rPr>
            </w:pPr>
            <w:r>
              <w:rPr>
                <w:rFonts w:ascii="Calibri" w:eastAsia="Times New Roman" w:hAnsi="Calibri" w:cs="Times New Roman"/>
                <w:b/>
                <w:bCs/>
                <w:color w:val="000000"/>
                <w:sz w:val="22"/>
              </w:rPr>
              <w:br/>
            </w:r>
            <w:r w:rsidRPr="00745F97">
              <w:rPr>
                <w:rFonts w:ascii="Calibri" w:eastAsia="Times New Roman" w:hAnsi="Calibri" w:cs="Times New Roman"/>
                <w:b/>
                <w:bCs/>
                <w:color w:val="000000"/>
                <w:szCs w:val="24"/>
              </w:rPr>
              <w:t xml:space="preserve">                 =REPT("-",B2/15)&amp;"X" </w:t>
            </w:r>
          </w:p>
          <w:p w:rsidR="00745F97" w:rsidRDefault="00745F97" w:rsidP="008F0E25">
            <w:pPr>
              <w:rPr>
                <w:rStyle w:val="Hyperlink"/>
                <w:rFonts w:asciiTheme="minorHAnsi" w:hAnsiTheme="minorHAnsi" w:cs="Arial"/>
                <w:color w:val="000000" w:themeColor="text1"/>
                <w:sz w:val="20"/>
                <w:szCs w:val="20"/>
                <w:u w:val="none"/>
              </w:rPr>
            </w:pPr>
          </w:p>
          <w:p w:rsidR="00745F97" w:rsidRDefault="00745F97" w:rsidP="008F0E25">
            <w:pPr>
              <w:rPr>
                <w:rStyle w:val="Hyperlink"/>
                <w:rFonts w:asciiTheme="minorHAnsi" w:hAnsiTheme="minorHAnsi" w:cs="Arial"/>
                <w:color w:val="000000" w:themeColor="text1"/>
                <w:sz w:val="20"/>
                <w:szCs w:val="20"/>
                <w:u w:val="none"/>
              </w:rPr>
            </w:pPr>
            <w:r w:rsidRPr="00745F97">
              <w:rPr>
                <w:rStyle w:val="Hyperlink"/>
                <w:rFonts w:asciiTheme="minorHAnsi" w:hAnsiTheme="minorHAnsi" w:cs="Arial"/>
                <w:color w:val="000000" w:themeColor="text1"/>
                <w:sz w:val="20"/>
                <w:szCs w:val="20"/>
                <w:u w:val="none"/>
              </w:rPr>
              <w:t>Note:</w:t>
            </w:r>
          </w:p>
          <w:p w:rsidR="00745F97" w:rsidRDefault="00745F97" w:rsidP="008F0E25">
            <w:pPr>
              <w:rPr>
                <w:rStyle w:val="Hyperlink"/>
                <w:rFonts w:asciiTheme="minorHAnsi" w:hAnsiTheme="minorHAnsi" w:cs="Arial"/>
                <w:color w:val="000000" w:themeColor="text1"/>
                <w:sz w:val="20"/>
                <w:szCs w:val="20"/>
                <w:u w:val="none"/>
              </w:rPr>
            </w:pPr>
            <w:r w:rsidRPr="00745F97">
              <w:rPr>
                <w:rStyle w:val="Hyperlink"/>
                <w:rFonts w:asciiTheme="minorHAnsi" w:hAnsiTheme="minorHAnsi" w:cs="Arial"/>
                <w:color w:val="000000" w:themeColor="text1"/>
                <w:sz w:val="20"/>
                <w:szCs w:val="20"/>
                <w:u w:val="none"/>
              </w:rPr>
              <w:t xml:space="preserve"> Inserting a blank in the REPT function (“ “) and “0” at the end of the fo</w:t>
            </w:r>
            <w:r>
              <w:rPr>
                <w:rStyle w:val="Hyperlink"/>
                <w:rFonts w:asciiTheme="minorHAnsi" w:hAnsiTheme="minorHAnsi" w:cs="Arial"/>
                <w:color w:val="000000" w:themeColor="text1"/>
                <w:sz w:val="20"/>
                <w:szCs w:val="20"/>
                <w:u w:val="none"/>
              </w:rPr>
              <w:t xml:space="preserve">rmula  produces a dot - plot.  </w:t>
            </w:r>
          </w:p>
          <w:p w:rsidR="00745F97" w:rsidRDefault="00745F97" w:rsidP="008F0E25">
            <w:pPr>
              <w:rPr>
                <w:rStyle w:val="Hyperlink"/>
                <w:rFonts w:asciiTheme="minorHAnsi" w:hAnsiTheme="minorHAnsi" w:cs="Arial"/>
                <w:color w:val="000000" w:themeColor="text1"/>
                <w:sz w:val="20"/>
                <w:szCs w:val="20"/>
                <w:u w:val="none"/>
              </w:rPr>
            </w:pPr>
          </w:p>
          <w:p w:rsidR="00745F97" w:rsidRDefault="00745F97" w:rsidP="008F0E25">
            <w:pPr>
              <w:rPr>
                <w:rFonts w:ascii="Calibri" w:eastAsia="Times New Roman" w:hAnsi="Calibri" w:cs="Times New Roman"/>
                <w:b/>
                <w:bCs/>
                <w:color w:val="000000"/>
                <w:sz w:val="22"/>
              </w:rPr>
            </w:pPr>
            <w:r w:rsidRPr="00745F97">
              <w:rPr>
                <w:rStyle w:val="Hyperlink"/>
                <w:rFonts w:asciiTheme="minorHAnsi" w:hAnsiTheme="minorHAnsi" w:cs="Arial"/>
                <w:color w:val="000000" w:themeColor="text1"/>
                <w:sz w:val="20"/>
                <w:szCs w:val="20"/>
                <w:u w:val="none"/>
              </w:rPr>
              <w:t>Do</w:t>
            </w:r>
            <w:r w:rsidR="008203CD">
              <w:rPr>
                <w:rStyle w:val="Hyperlink"/>
                <w:rFonts w:asciiTheme="minorHAnsi" w:hAnsiTheme="minorHAnsi" w:cs="Arial"/>
                <w:color w:val="000000" w:themeColor="text1"/>
                <w:sz w:val="20"/>
                <w:szCs w:val="20"/>
                <w:u w:val="none"/>
              </w:rPr>
              <w:t>t plots can be constructed as actual Excel charts:</w:t>
            </w:r>
            <w:r w:rsidRPr="00745F97">
              <w:rPr>
                <w:rStyle w:val="Hyperlink"/>
                <w:rFonts w:asciiTheme="minorHAnsi" w:hAnsiTheme="minorHAnsi" w:cs="Arial"/>
                <w:color w:val="000000" w:themeColor="text1"/>
                <w:sz w:val="20"/>
                <w:szCs w:val="20"/>
                <w:u w:val="none"/>
              </w:rPr>
              <w:t xml:space="preserve"> the Kelley O’Day or Jon Peltier websites</w:t>
            </w:r>
            <w:r w:rsidR="008203CD">
              <w:rPr>
                <w:rStyle w:val="Hyperlink"/>
                <w:rFonts w:asciiTheme="minorHAnsi" w:hAnsiTheme="minorHAnsi" w:cs="Arial"/>
                <w:color w:val="000000" w:themeColor="text1"/>
                <w:sz w:val="20"/>
                <w:szCs w:val="20"/>
                <w:u w:val="none"/>
              </w:rPr>
              <w:t xml:space="preserve"> provide examples.</w:t>
            </w:r>
          </w:p>
        </w:tc>
      </w:tr>
    </w:tbl>
    <w:p w:rsidR="00745F97" w:rsidRDefault="00745F97" w:rsidP="008F0E25">
      <w:pPr>
        <w:rPr>
          <w:rFonts w:ascii="Calibri" w:eastAsia="Times New Roman" w:hAnsi="Calibri" w:cs="Times New Roman"/>
          <w:b/>
          <w:bCs/>
          <w:color w:val="000000"/>
          <w:sz w:val="22"/>
        </w:rPr>
      </w:pPr>
    </w:p>
    <w:p w:rsidR="00552E96" w:rsidRDefault="00552E96" w:rsidP="008F0E25">
      <w:pPr>
        <w:rPr>
          <w:rFonts w:ascii="Calibri" w:eastAsia="Times New Roman" w:hAnsi="Calibri" w:cs="Times New Roman"/>
          <w:b/>
          <w:bCs/>
          <w:color w:val="000000"/>
          <w:sz w:val="22"/>
        </w:rPr>
      </w:pPr>
    </w:p>
    <w:p w:rsidR="00560770" w:rsidRDefault="00AF2858">
      <w:pP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            </w:t>
      </w:r>
      <w:r w:rsidR="00560770">
        <w:rPr>
          <w:rFonts w:ascii="Calibri" w:eastAsia="Times New Roman" w:hAnsi="Calibri" w:cs="Times New Roman"/>
          <w:b/>
          <w:bCs/>
          <w:color w:val="000000"/>
          <w:sz w:val="22"/>
        </w:rPr>
        <w:br w:type="page"/>
      </w:r>
    </w:p>
    <w:p w:rsidR="00552E96" w:rsidRDefault="00552E96" w:rsidP="008F0E25">
      <w:pPr>
        <w:rPr>
          <w:rFonts w:ascii="Calibri" w:eastAsia="Times New Roman" w:hAnsi="Calibri" w:cs="Times New Roman"/>
          <w:b/>
          <w:bCs/>
          <w:color w:val="000000"/>
          <w:sz w:val="22"/>
        </w:rPr>
      </w:pPr>
    </w:p>
    <w:p w:rsidR="00CA67E6" w:rsidRPr="00F52489" w:rsidRDefault="00CA67E6" w:rsidP="00CA67E6">
      <w:pPr>
        <w:jc w:val="center"/>
        <w:rPr>
          <w:rFonts w:asciiTheme="minorHAnsi" w:hAnsiTheme="minorHAnsi" w:cs="Arial"/>
          <w:b/>
          <w:color w:val="000000" w:themeColor="text1"/>
          <w:sz w:val="22"/>
        </w:rPr>
      </w:pPr>
      <w:r>
        <w:rPr>
          <w:rFonts w:asciiTheme="minorHAnsi" w:hAnsiTheme="minorHAnsi" w:cs="Arial"/>
          <w:b/>
          <w:color w:val="000000" w:themeColor="text1"/>
          <w:sz w:val="22"/>
        </w:rPr>
        <w:t xml:space="preserve">Excel </w:t>
      </w:r>
      <w:r w:rsidRPr="00F52489">
        <w:rPr>
          <w:rFonts w:asciiTheme="minorHAnsi" w:hAnsiTheme="minorHAnsi" w:cs="Arial"/>
          <w:b/>
          <w:color w:val="000000" w:themeColor="text1"/>
          <w:sz w:val="22"/>
        </w:rPr>
        <w:t>Chart Add-ins</w:t>
      </w:r>
    </w:p>
    <w:p w:rsidR="00CA67E6" w:rsidRDefault="00CA67E6" w:rsidP="00CA67E6">
      <w:pPr>
        <w:rPr>
          <w:rFonts w:asciiTheme="minorHAnsi" w:hAnsiTheme="minorHAnsi" w:cs="Arial"/>
          <w:color w:val="000000" w:themeColor="text1"/>
          <w:sz w:val="20"/>
          <w:szCs w:val="20"/>
        </w:rPr>
      </w:pPr>
      <w:r w:rsidRPr="00F52489">
        <w:rPr>
          <w:rFonts w:asciiTheme="minorHAnsi" w:hAnsiTheme="minorHAnsi" w:cs="Arial"/>
          <w:b/>
          <w:color w:val="000000" w:themeColor="text1"/>
          <w:sz w:val="20"/>
          <w:szCs w:val="20"/>
        </w:rPr>
        <w:t>Excel Chart Labeler</w:t>
      </w:r>
      <w:r w:rsidRPr="00F52489">
        <w:rPr>
          <w:rFonts w:asciiTheme="minorHAnsi" w:hAnsiTheme="minorHAnsi" w:cs="Arial"/>
          <w:color w:val="000000" w:themeColor="text1"/>
          <w:sz w:val="20"/>
          <w:szCs w:val="20"/>
        </w:rPr>
        <w:t>:</w:t>
      </w:r>
      <w:r>
        <w:rPr>
          <w:rFonts w:asciiTheme="minorHAnsi" w:hAnsiTheme="minorHAnsi" w:cs="Arial"/>
          <w:color w:val="000000" w:themeColor="text1"/>
          <w:sz w:val="20"/>
          <w:szCs w:val="20"/>
        </w:rPr>
        <w:t xml:space="preserve"> ($49)</w:t>
      </w:r>
      <w:r w:rsidRPr="00F52489">
        <w:rPr>
          <w:rFonts w:asciiTheme="minorHAnsi" w:hAnsiTheme="minorHAnsi" w:cs="Arial"/>
          <w:color w:val="000000" w:themeColor="text1"/>
          <w:sz w:val="20"/>
          <w:szCs w:val="20"/>
        </w:rPr>
        <w:br/>
        <w:t xml:space="preserve"> J-Walk Power Utility Pack</w:t>
      </w:r>
      <w:r w:rsidRPr="00F52489">
        <w:rPr>
          <w:rFonts w:asciiTheme="minorHAnsi" w:hAnsiTheme="minorHAnsi" w:cs="Arial"/>
          <w:color w:val="000000" w:themeColor="text1"/>
          <w:sz w:val="20"/>
          <w:szCs w:val="20"/>
        </w:rPr>
        <w:br/>
      </w:r>
      <w:hyperlink r:id="rId27" w:history="1">
        <w:r w:rsidRPr="005E2FA6">
          <w:rPr>
            <w:rStyle w:val="Hyperlink"/>
            <w:rFonts w:asciiTheme="minorHAnsi" w:hAnsiTheme="minorHAnsi" w:cs="Arial"/>
            <w:sz w:val="20"/>
            <w:szCs w:val="20"/>
          </w:rPr>
          <w:t>http://spreadsheetpage.com/index.php/pupv7/</w:t>
        </w:r>
      </w:hyperlink>
    </w:p>
    <w:p w:rsidR="00CA67E6" w:rsidRPr="00F52489" w:rsidRDefault="00CA67E6" w:rsidP="00CA67E6">
      <w:pPr>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Note: the power utility pack contains an entire ribbon-menu of Excel functions, including Excel bookmarks.  </w:t>
      </w:r>
      <w:r>
        <w:rPr>
          <w:rFonts w:asciiTheme="minorHAnsi" w:hAnsiTheme="minorHAnsi" w:cs="Arial"/>
          <w:color w:val="000000" w:themeColor="text1"/>
          <w:sz w:val="20"/>
          <w:szCs w:val="20"/>
        </w:rPr>
        <w:br/>
        <w:t>There are several freeware chart labelers available on-line.  The chart labeler is used not only for Excel charts,</w:t>
      </w:r>
      <w:r>
        <w:rPr>
          <w:rFonts w:asciiTheme="minorHAnsi" w:hAnsiTheme="minorHAnsi" w:cs="Arial"/>
          <w:color w:val="000000" w:themeColor="text1"/>
          <w:sz w:val="20"/>
          <w:szCs w:val="20"/>
        </w:rPr>
        <w:br/>
        <w:t>but to label datapoints on other charts as well.  Using a hidden horizontal variable, it can also be used to create</w:t>
      </w:r>
      <w:r>
        <w:rPr>
          <w:rFonts w:asciiTheme="minorHAnsi" w:hAnsiTheme="minorHAnsi" w:cs="Arial"/>
          <w:color w:val="000000" w:themeColor="text1"/>
          <w:sz w:val="20"/>
          <w:szCs w:val="20"/>
        </w:rPr>
        <w:br/>
        <w:t>labels for uneven X-axis tick marks.</w:t>
      </w:r>
    </w:p>
    <w:p w:rsidR="00CA67E6" w:rsidRPr="00F52489" w:rsidRDefault="00CA67E6" w:rsidP="00CA67E6">
      <w:pPr>
        <w:rPr>
          <w:rFonts w:asciiTheme="minorHAnsi" w:hAnsiTheme="minorHAnsi" w:cs="Arial"/>
          <w:color w:val="000000" w:themeColor="text1"/>
          <w:sz w:val="20"/>
          <w:szCs w:val="20"/>
        </w:rPr>
      </w:pPr>
    </w:p>
    <w:p w:rsidR="00CA67E6" w:rsidRPr="00F52489" w:rsidRDefault="00CA67E6" w:rsidP="00CA67E6">
      <w:pPr>
        <w:rPr>
          <w:rFonts w:asciiTheme="minorHAnsi" w:hAnsiTheme="minorHAnsi" w:cs="Arial"/>
          <w:b/>
          <w:color w:val="000000" w:themeColor="text1"/>
          <w:sz w:val="20"/>
          <w:szCs w:val="20"/>
        </w:rPr>
      </w:pPr>
      <w:r w:rsidRPr="00F52489">
        <w:rPr>
          <w:rFonts w:asciiTheme="minorHAnsi" w:hAnsiTheme="minorHAnsi" w:cs="Arial"/>
          <w:b/>
          <w:color w:val="000000" w:themeColor="text1"/>
          <w:sz w:val="20"/>
          <w:szCs w:val="20"/>
        </w:rPr>
        <w:t>Boxplots:</w:t>
      </w:r>
      <w:r w:rsidRPr="00026854">
        <w:rPr>
          <w:rFonts w:asciiTheme="minorHAnsi" w:hAnsiTheme="minorHAnsi" w:cs="Arial"/>
          <w:color w:val="000000" w:themeColor="text1"/>
          <w:sz w:val="20"/>
          <w:szCs w:val="20"/>
        </w:rPr>
        <w:t xml:space="preserve"> ($49)</w:t>
      </w:r>
    </w:p>
    <w:p w:rsidR="00CA67E6" w:rsidRDefault="00CA67E6" w:rsidP="00CA67E6">
      <w:r w:rsidRPr="00F52489">
        <w:rPr>
          <w:rFonts w:asciiTheme="minorHAnsi" w:hAnsiTheme="minorHAnsi" w:cs="Arial"/>
          <w:color w:val="000000" w:themeColor="text1"/>
          <w:sz w:val="20"/>
          <w:szCs w:val="20"/>
        </w:rPr>
        <w:t>Peltier Box and Whisker Plots</w:t>
      </w:r>
      <w:r w:rsidRPr="00F52489">
        <w:rPr>
          <w:rFonts w:asciiTheme="minorHAnsi" w:hAnsiTheme="minorHAnsi" w:cs="Arial"/>
          <w:color w:val="000000" w:themeColor="text1"/>
          <w:sz w:val="20"/>
          <w:szCs w:val="20"/>
        </w:rPr>
        <w:br/>
      </w:r>
      <w:hyperlink r:id="rId28" w:history="1">
        <w:r w:rsidRPr="00F52489">
          <w:rPr>
            <w:rStyle w:val="Hyperlink"/>
            <w:rFonts w:asciiTheme="minorHAnsi" w:hAnsiTheme="minorHAnsi" w:cs="Arial"/>
            <w:color w:val="000000" w:themeColor="text1"/>
            <w:sz w:val="20"/>
            <w:szCs w:val="20"/>
            <w:u w:val="none"/>
          </w:rPr>
          <w:t>http://peltiertech.com/Excel/Charts/BoxWhisker.html</w:t>
        </w:r>
      </w:hyperlink>
    </w:p>
    <w:p w:rsidR="00CA67E6" w:rsidRPr="00311BF6" w:rsidRDefault="00CA67E6" w:rsidP="00CA67E6">
      <w:pPr>
        <w:rPr>
          <w:rFonts w:asciiTheme="minorHAnsi" w:hAnsiTheme="minorHAnsi" w:cs="Arial"/>
          <w:color w:val="000000" w:themeColor="text1"/>
          <w:sz w:val="20"/>
          <w:szCs w:val="20"/>
        </w:rPr>
      </w:pPr>
      <w:r w:rsidRPr="00311BF6">
        <w:rPr>
          <w:rFonts w:asciiTheme="minorHAnsi" w:hAnsiTheme="minorHAnsi" w:cs="Arial"/>
          <w:color w:val="000000" w:themeColor="text1"/>
          <w:sz w:val="20"/>
          <w:szCs w:val="20"/>
        </w:rPr>
        <w:t>Note: Boxplots (without outliers) can be constructed by “hand” using variations on the Excel “stock” charts.</w:t>
      </w:r>
    </w:p>
    <w:p w:rsidR="00CA67E6" w:rsidRPr="00B93AE9" w:rsidRDefault="00CA67E6" w:rsidP="00CA67E6">
      <w:pPr>
        <w:rPr>
          <w:sz w:val="16"/>
          <w:szCs w:val="16"/>
        </w:rPr>
      </w:pPr>
    </w:p>
    <w:p w:rsidR="00CA67E6" w:rsidRDefault="00CA67E6" w:rsidP="00CA67E6">
      <w:pPr>
        <w:rPr>
          <w:rStyle w:val="Hyperlink"/>
          <w:rFonts w:asciiTheme="minorHAnsi" w:hAnsiTheme="minorHAnsi" w:cs="Arial"/>
          <w:color w:val="000000" w:themeColor="text1"/>
          <w:sz w:val="20"/>
          <w:szCs w:val="20"/>
          <w:u w:val="none"/>
        </w:rPr>
      </w:pPr>
      <w:r w:rsidRPr="00B93AE9">
        <w:rPr>
          <w:rFonts w:asciiTheme="minorHAnsi" w:hAnsiTheme="minorHAnsi" w:cs="Arial"/>
          <w:b/>
          <w:color w:val="000000" w:themeColor="text1"/>
          <w:sz w:val="20"/>
          <w:szCs w:val="20"/>
        </w:rPr>
        <w:t>Sparklines</w:t>
      </w:r>
      <w:r>
        <w:rPr>
          <w:rFonts w:asciiTheme="minorHAnsi" w:hAnsiTheme="minorHAnsi" w:cs="Arial"/>
          <w:b/>
          <w:color w:val="000000" w:themeColor="text1"/>
          <w:sz w:val="20"/>
          <w:szCs w:val="20"/>
        </w:rPr>
        <w:t xml:space="preserve"> </w:t>
      </w:r>
      <w:r w:rsidRPr="00026854">
        <w:rPr>
          <w:rFonts w:asciiTheme="minorHAnsi" w:hAnsiTheme="minorHAnsi" w:cs="Arial"/>
          <w:color w:val="000000" w:themeColor="text1"/>
          <w:sz w:val="20"/>
          <w:szCs w:val="20"/>
        </w:rPr>
        <w:t>(freeware)</w:t>
      </w:r>
      <w:r>
        <w:rPr>
          <w:rFonts w:asciiTheme="minorHAnsi" w:hAnsiTheme="minorHAnsi" w:cs="Arial"/>
          <w:b/>
          <w:color w:val="000000" w:themeColor="text1"/>
          <w:sz w:val="20"/>
          <w:szCs w:val="20"/>
        </w:rPr>
        <w:br/>
      </w:r>
      <w:r w:rsidRPr="00B93AE9">
        <w:rPr>
          <w:rFonts w:asciiTheme="minorHAnsi" w:hAnsiTheme="minorHAnsi" w:cs="Arial"/>
          <w:bCs/>
          <w:color w:val="000000" w:themeColor="text1"/>
          <w:sz w:val="20"/>
          <w:szCs w:val="20"/>
        </w:rPr>
        <w:t>Fabrice Rimlinger</w:t>
      </w:r>
      <w:r>
        <w:rPr>
          <w:rFonts w:asciiTheme="minorHAnsi" w:hAnsiTheme="minorHAnsi" w:cs="Arial"/>
          <w:bCs/>
          <w:color w:val="000000" w:themeColor="text1"/>
          <w:sz w:val="20"/>
          <w:szCs w:val="20"/>
        </w:rPr>
        <w:t xml:space="preserve">  [sourceforge]</w:t>
      </w:r>
      <w:r>
        <w:rPr>
          <w:rFonts w:asciiTheme="minorHAnsi" w:hAnsiTheme="minorHAnsi" w:cs="Arial"/>
          <w:b/>
          <w:color w:val="000000" w:themeColor="text1"/>
          <w:sz w:val="20"/>
          <w:szCs w:val="20"/>
        </w:rPr>
        <w:br/>
      </w:r>
      <w:hyperlink r:id="rId29" w:history="1">
        <w:r w:rsidRPr="005E2FA6">
          <w:rPr>
            <w:rStyle w:val="Hyperlink"/>
            <w:rFonts w:asciiTheme="minorHAnsi" w:hAnsiTheme="minorHAnsi" w:cs="Arial"/>
            <w:sz w:val="20"/>
            <w:szCs w:val="20"/>
          </w:rPr>
          <w:t>http://sourceforge.net/projects/sparklinesforxl/</w:t>
        </w:r>
      </w:hyperlink>
    </w:p>
    <w:p w:rsidR="00AF17F5" w:rsidRDefault="00CA67E6" w:rsidP="00CA67E6">
      <w:pPr>
        <w:rPr>
          <w:rStyle w:val="Hyperlink"/>
          <w:rFonts w:asciiTheme="minorHAnsi" w:hAnsiTheme="minorHAnsi" w:cs="Arial"/>
          <w:color w:val="000000" w:themeColor="text1"/>
          <w:sz w:val="20"/>
          <w:szCs w:val="20"/>
          <w:u w:val="none"/>
        </w:rPr>
      </w:pPr>
      <w:r>
        <w:rPr>
          <w:rStyle w:val="Hyperlink"/>
          <w:rFonts w:asciiTheme="minorHAnsi" w:hAnsiTheme="minorHAnsi" w:cs="Arial"/>
          <w:color w:val="000000" w:themeColor="text1"/>
          <w:sz w:val="20"/>
          <w:szCs w:val="20"/>
          <w:u w:val="none"/>
        </w:rPr>
        <w:t>Sparklines will be available in the next Office (2010) release.</w:t>
      </w:r>
    </w:p>
    <w:p w:rsidR="00AF17F5" w:rsidRDefault="00AF17F5">
      <w:pPr>
        <w:rPr>
          <w:rStyle w:val="Hyperlink"/>
          <w:rFonts w:asciiTheme="minorHAnsi" w:hAnsiTheme="minorHAnsi" w:cs="Arial"/>
          <w:color w:val="000000" w:themeColor="text1"/>
          <w:sz w:val="20"/>
          <w:szCs w:val="20"/>
          <w:u w:val="none"/>
        </w:rPr>
      </w:pPr>
      <w:r>
        <w:rPr>
          <w:rStyle w:val="Hyperlink"/>
          <w:rFonts w:asciiTheme="minorHAnsi" w:hAnsiTheme="minorHAnsi" w:cs="Arial"/>
          <w:color w:val="000000" w:themeColor="text1"/>
          <w:sz w:val="20"/>
          <w:szCs w:val="20"/>
          <w:u w:val="none"/>
        </w:rPr>
        <w:br w:type="page"/>
      </w:r>
    </w:p>
    <w:p w:rsidR="009943D3" w:rsidRDefault="009943D3" w:rsidP="00DA1B08">
      <w:pPr>
        <w:ind w:right="1296"/>
        <w:jc w:val="center"/>
        <w:rPr>
          <w:rFonts w:ascii="Arial Black" w:hAnsi="Arial Black"/>
          <w:noProof/>
        </w:rPr>
      </w:pPr>
    </w:p>
    <w:p w:rsidR="009943D3" w:rsidRDefault="009943D3" w:rsidP="00DA1B08">
      <w:pPr>
        <w:ind w:right="1296"/>
        <w:jc w:val="center"/>
        <w:rPr>
          <w:rFonts w:ascii="Arial Black" w:hAnsi="Arial Black"/>
          <w:noProof/>
        </w:rPr>
      </w:pPr>
    </w:p>
    <w:p w:rsidR="00CA67E6" w:rsidRPr="00560770" w:rsidRDefault="00560770" w:rsidP="006B65A0">
      <w:pPr>
        <w:ind w:left="630" w:right="1296"/>
        <w:jc w:val="center"/>
        <w:rPr>
          <w:rFonts w:ascii="Arial Black" w:hAnsi="Arial Black"/>
          <w:noProof/>
        </w:rPr>
      </w:pPr>
      <w:r>
        <w:rPr>
          <w:rFonts w:ascii="Arial Black" w:hAnsi="Arial Black"/>
          <w:noProof/>
        </w:rPr>
        <w:t xml:space="preserve">Part II: </w:t>
      </w:r>
      <w:r w:rsidR="00F372B0" w:rsidRPr="00560770">
        <w:rPr>
          <w:rFonts w:ascii="Arial Black" w:hAnsi="Arial Black"/>
          <w:noProof/>
        </w:rPr>
        <w:t xml:space="preserve">Statistical </w:t>
      </w:r>
      <w:r>
        <w:rPr>
          <w:rFonts w:ascii="Arial Black" w:hAnsi="Arial Black"/>
          <w:noProof/>
        </w:rPr>
        <w:t>F</w:t>
      </w:r>
      <w:r w:rsidR="00F372B0" w:rsidRPr="00560770">
        <w:rPr>
          <w:rFonts w:ascii="Arial Black" w:hAnsi="Arial Black"/>
          <w:noProof/>
        </w:rPr>
        <w:t>allacies</w:t>
      </w:r>
    </w:p>
    <w:p w:rsidR="00F372B0" w:rsidRPr="00560770" w:rsidRDefault="00F372B0" w:rsidP="006B65A0">
      <w:pPr>
        <w:ind w:left="630" w:right="1728"/>
        <w:rPr>
          <w:rStyle w:val="Hyperlink"/>
          <w:rFonts w:asciiTheme="minorHAnsi" w:hAnsiTheme="minorHAnsi" w:cs="Arial"/>
          <w:b/>
          <w:color w:val="000000" w:themeColor="text1"/>
          <w:sz w:val="22"/>
          <w:u w:val="none"/>
        </w:rPr>
      </w:pPr>
    </w:p>
    <w:p w:rsidR="00F372B0" w:rsidRPr="00130C89" w:rsidRDefault="00F372B0" w:rsidP="006B65A0">
      <w:pPr>
        <w:pStyle w:val="ListParagraph"/>
        <w:numPr>
          <w:ilvl w:val="0"/>
          <w:numId w:val="6"/>
        </w:numPr>
        <w:tabs>
          <w:tab w:val="num" w:pos="1440"/>
        </w:tabs>
        <w:spacing w:after="60"/>
        <w:ind w:left="630" w:right="1728"/>
        <w:contextualSpacing w:val="0"/>
        <w:rPr>
          <w:rFonts w:asciiTheme="minorHAnsi" w:hAnsiTheme="minorHAnsi" w:cs="Arial"/>
          <w:color w:val="000000" w:themeColor="text1"/>
          <w:sz w:val="20"/>
          <w:szCs w:val="20"/>
        </w:rPr>
      </w:pPr>
      <w:r w:rsidRPr="00130C89">
        <w:rPr>
          <w:rFonts w:asciiTheme="minorHAnsi" w:hAnsiTheme="minorHAnsi" w:cs="Arial"/>
          <w:b/>
          <w:color w:val="000000" w:themeColor="text1"/>
          <w:sz w:val="20"/>
          <w:szCs w:val="20"/>
        </w:rPr>
        <w:t>An argument:</w:t>
      </w:r>
      <w:r w:rsidRPr="00130C89">
        <w:rPr>
          <w:rFonts w:asciiTheme="minorHAnsi" w:hAnsiTheme="minorHAnsi" w:cs="Arial"/>
          <w:color w:val="000000" w:themeColor="text1"/>
          <w:sz w:val="20"/>
          <w:szCs w:val="20"/>
        </w:rPr>
        <w:t xml:space="preserve">  </w:t>
      </w:r>
      <w:r w:rsidR="00C36026" w:rsidRPr="00130C89">
        <w:rPr>
          <w:rFonts w:asciiTheme="minorHAnsi" w:hAnsiTheme="minorHAnsi" w:cs="Arial"/>
          <w:color w:val="000000" w:themeColor="text1"/>
          <w:sz w:val="20"/>
          <w:szCs w:val="20"/>
        </w:rPr>
        <w:t xml:space="preserve">Premises (evidence and reasoning) </w:t>
      </w:r>
      <w:r w:rsidRPr="00130C89">
        <w:rPr>
          <w:rFonts w:asciiTheme="minorHAnsi" w:hAnsiTheme="minorHAnsi" w:cs="Arial"/>
          <w:color w:val="000000" w:themeColor="text1"/>
          <w:sz w:val="20"/>
          <w:szCs w:val="20"/>
        </w:rPr>
        <w:t xml:space="preserve">offered </w:t>
      </w:r>
      <w:r w:rsidR="00C36026" w:rsidRPr="00130C89">
        <w:rPr>
          <w:rFonts w:asciiTheme="minorHAnsi" w:hAnsiTheme="minorHAnsi" w:cs="Arial"/>
          <w:color w:val="000000" w:themeColor="text1"/>
          <w:sz w:val="20"/>
          <w:szCs w:val="20"/>
        </w:rPr>
        <w:t>in support of a conclusion</w:t>
      </w:r>
      <w:r w:rsidRPr="00130C89">
        <w:rPr>
          <w:rFonts w:asciiTheme="minorHAnsi" w:hAnsiTheme="minorHAnsi" w:cs="Arial"/>
          <w:color w:val="000000" w:themeColor="text1"/>
          <w:sz w:val="20"/>
          <w:szCs w:val="20"/>
        </w:rPr>
        <w:t>.</w:t>
      </w:r>
    </w:p>
    <w:p w:rsidR="00C36026" w:rsidRPr="00100C57" w:rsidRDefault="00F372B0" w:rsidP="006B65A0">
      <w:pPr>
        <w:pStyle w:val="ListParagraph"/>
        <w:numPr>
          <w:ilvl w:val="0"/>
          <w:numId w:val="6"/>
        </w:numPr>
        <w:tabs>
          <w:tab w:val="num" w:pos="1440"/>
        </w:tabs>
        <w:spacing w:after="60"/>
        <w:ind w:left="630" w:right="1728"/>
        <w:contextualSpacing w:val="0"/>
        <w:rPr>
          <w:rFonts w:asciiTheme="minorHAnsi" w:hAnsiTheme="minorHAnsi" w:cs="Arial"/>
          <w:color w:val="000000" w:themeColor="text1"/>
          <w:sz w:val="20"/>
          <w:szCs w:val="20"/>
        </w:rPr>
      </w:pPr>
      <w:r w:rsidRPr="00130C89">
        <w:rPr>
          <w:rFonts w:asciiTheme="minorHAnsi" w:hAnsiTheme="minorHAnsi" w:cs="Arial"/>
          <w:b/>
          <w:color w:val="000000" w:themeColor="text1"/>
          <w:sz w:val="20"/>
          <w:szCs w:val="20"/>
        </w:rPr>
        <w:t>An argument fallacy:</w:t>
      </w:r>
      <w:r w:rsidRPr="00100C57">
        <w:rPr>
          <w:rFonts w:asciiTheme="minorHAnsi" w:hAnsiTheme="minorHAnsi" w:cs="Arial"/>
          <w:color w:val="000000" w:themeColor="text1"/>
          <w:sz w:val="20"/>
          <w:szCs w:val="20"/>
        </w:rPr>
        <w:t xml:space="preserve"> </w:t>
      </w:r>
      <w:r w:rsidR="00C36026" w:rsidRPr="00100C57">
        <w:rPr>
          <w:rFonts w:asciiTheme="minorHAnsi" w:hAnsiTheme="minorHAnsi" w:cs="Arial"/>
          <w:color w:val="000000" w:themeColor="text1"/>
          <w:sz w:val="20"/>
          <w:szCs w:val="20"/>
        </w:rPr>
        <w:t xml:space="preserve">When the premises, even if true, do not support a conclusion </w:t>
      </w:r>
      <w:r w:rsidRPr="00100C57">
        <w:rPr>
          <w:rFonts w:asciiTheme="minorHAnsi" w:hAnsiTheme="minorHAnsi" w:cs="Arial"/>
          <w:color w:val="000000" w:themeColor="text1"/>
          <w:sz w:val="20"/>
          <w:szCs w:val="20"/>
        </w:rPr>
        <w:br/>
      </w:r>
      <w:r w:rsidR="00C36026" w:rsidRPr="00100C57">
        <w:rPr>
          <w:rFonts w:asciiTheme="minorHAnsi" w:hAnsiTheme="minorHAnsi" w:cs="Arial"/>
          <w:i/>
          <w:iCs/>
          <w:color w:val="000000" w:themeColor="text1"/>
          <w:sz w:val="20"/>
          <w:szCs w:val="20"/>
        </w:rPr>
        <w:t>(Examples: false cause, slippery slope, ad hominem, straw man, red herring…).</w:t>
      </w:r>
    </w:p>
    <w:p w:rsidR="00C36026" w:rsidRDefault="00F372B0" w:rsidP="006B65A0">
      <w:pPr>
        <w:pStyle w:val="ListParagraph"/>
        <w:numPr>
          <w:ilvl w:val="0"/>
          <w:numId w:val="6"/>
        </w:numPr>
        <w:tabs>
          <w:tab w:val="num" w:pos="1440"/>
        </w:tabs>
        <w:spacing w:after="60"/>
        <w:ind w:left="630" w:right="1728"/>
        <w:contextualSpacing w:val="0"/>
        <w:rPr>
          <w:rFonts w:asciiTheme="minorHAnsi" w:hAnsiTheme="minorHAnsi" w:cs="Arial"/>
          <w:color w:val="000000" w:themeColor="text1"/>
          <w:sz w:val="20"/>
          <w:szCs w:val="20"/>
        </w:rPr>
      </w:pPr>
      <w:r w:rsidRPr="00130C89">
        <w:rPr>
          <w:rFonts w:asciiTheme="minorHAnsi" w:hAnsiTheme="minorHAnsi" w:cs="Arial"/>
          <w:b/>
          <w:color w:val="000000" w:themeColor="text1"/>
          <w:sz w:val="20"/>
          <w:szCs w:val="20"/>
        </w:rPr>
        <w:t>A statistical fallacy</w:t>
      </w:r>
      <w:r w:rsidRPr="00100C57">
        <w:rPr>
          <w:rFonts w:asciiTheme="minorHAnsi" w:hAnsiTheme="minorHAnsi" w:cs="Arial"/>
          <w:color w:val="000000" w:themeColor="text1"/>
          <w:sz w:val="20"/>
          <w:szCs w:val="20"/>
        </w:rPr>
        <w:t xml:space="preserve">: </w:t>
      </w:r>
      <w:r w:rsidR="00C36026" w:rsidRPr="00100C57">
        <w:rPr>
          <w:rFonts w:asciiTheme="minorHAnsi" w:hAnsiTheme="minorHAnsi" w:cs="Arial"/>
          <w:color w:val="000000" w:themeColor="text1"/>
          <w:sz w:val="20"/>
          <w:szCs w:val="20"/>
        </w:rPr>
        <w:t>When the data</w:t>
      </w:r>
      <w:r w:rsidRPr="00100C57">
        <w:rPr>
          <w:rFonts w:asciiTheme="minorHAnsi" w:hAnsiTheme="minorHAnsi" w:cs="Arial"/>
          <w:color w:val="000000" w:themeColor="text1"/>
          <w:sz w:val="20"/>
          <w:szCs w:val="20"/>
        </w:rPr>
        <w:t xml:space="preserve"> offered as evidence</w:t>
      </w:r>
      <w:r w:rsidR="00C36026" w:rsidRPr="00100C57">
        <w:rPr>
          <w:rFonts w:asciiTheme="minorHAnsi" w:hAnsiTheme="minorHAnsi" w:cs="Arial"/>
          <w:color w:val="000000" w:themeColor="text1"/>
          <w:sz w:val="20"/>
          <w:szCs w:val="20"/>
        </w:rPr>
        <w:t xml:space="preserve"> </w:t>
      </w:r>
      <w:r w:rsidR="00DA1B08">
        <w:rPr>
          <w:rFonts w:asciiTheme="minorHAnsi" w:hAnsiTheme="minorHAnsi" w:cs="Arial"/>
          <w:color w:val="000000" w:themeColor="text1"/>
          <w:sz w:val="20"/>
          <w:szCs w:val="20"/>
        </w:rPr>
        <w:t>lead to the wrong</w:t>
      </w:r>
      <w:r w:rsidR="00C36026" w:rsidRPr="00100C57">
        <w:rPr>
          <w:rFonts w:asciiTheme="minorHAnsi" w:hAnsiTheme="minorHAnsi" w:cs="Arial"/>
          <w:color w:val="000000" w:themeColor="text1"/>
          <w:sz w:val="20"/>
          <w:szCs w:val="20"/>
        </w:rPr>
        <w:t xml:space="preserve"> conclusion.</w:t>
      </w:r>
    </w:p>
    <w:p w:rsidR="00AF17F5" w:rsidRPr="00100C57" w:rsidRDefault="00AF17F5" w:rsidP="006B65A0">
      <w:pPr>
        <w:pStyle w:val="ListParagraph"/>
        <w:spacing w:after="60"/>
        <w:ind w:left="630" w:right="1728"/>
        <w:contextualSpacing w:val="0"/>
        <w:rPr>
          <w:rFonts w:asciiTheme="minorHAnsi" w:hAnsiTheme="minorHAnsi" w:cs="Arial"/>
          <w:color w:val="000000" w:themeColor="text1"/>
          <w:sz w:val="20"/>
          <w:szCs w:val="20"/>
        </w:rPr>
      </w:pPr>
    </w:p>
    <w:p w:rsidR="00F372B0" w:rsidRDefault="00F372B0" w:rsidP="006B65A0">
      <w:pPr>
        <w:ind w:left="630" w:right="1728"/>
        <w:rPr>
          <w:rStyle w:val="Hyperlink"/>
          <w:rFonts w:asciiTheme="minorHAnsi" w:hAnsiTheme="minorHAnsi" w:cs="Arial"/>
          <w:color w:val="000000" w:themeColor="text1"/>
          <w:sz w:val="20"/>
          <w:szCs w:val="20"/>
          <w:u w:val="none"/>
        </w:rPr>
      </w:pPr>
    </w:p>
    <w:p w:rsidR="009943D3" w:rsidRDefault="00100C57" w:rsidP="006B65A0">
      <w:pPr>
        <w:ind w:left="630" w:right="1728"/>
        <w:jc w:val="center"/>
        <w:rPr>
          <w:rStyle w:val="Hyperlink"/>
          <w:rFonts w:asciiTheme="minorHAnsi" w:hAnsiTheme="minorHAnsi" w:cs="Arial"/>
          <w:b/>
          <w:color w:val="000000" w:themeColor="text1"/>
          <w:sz w:val="20"/>
          <w:szCs w:val="20"/>
          <w:u w:val="none"/>
        </w:rPr>
      </w:pPr>
      <w:r w:rsidRPr="00560770">
        <w:rPr>
          <w:rStyle w:val="Hyperlink"/>
          <w:rFonts w:asciiTheme="minorHAnsi" w:hAnsiTheme="minorHAnsi" w:cs="Arial"/>
          <w:b/>
          <w:color w:val="000000" w:themeColor="text1"/>
          <w:sz w:val="22"/>
          <w:u w:val="none"/>
        </w:rPr>
        <w:t>C</w:t>
      </w:r>
      <w:r w:rsidR="00F372B0" w:rsidRPr="00560770">
        <w:rPr>
          <w:rStyle w:val="Hyperlink"/>
          <w:rFonts w:asciiTheme="minorHAnsi" w:hAnsiTheme="minorHAnsi" w:cs="Arial"/>
          <w:b/>
          <w:color w:val="000000" w:themeColor="text1"/>
          <w:sz w:val="22"/>
          <w:u w:val="none"/>
        </w:rPr>
        <w:t>ommon statistical fallacies</w:t>
      </w:r>
      <w:r w:rsidR="00F372B0" w:rsidRPr="006F52DC">
        <w:rPr>
          <w:rStyle w:val="Hyperlink"/>
          <w:rFonts w:asciiTheme="minorHAnsi" w:hAnsiTheme="minorHAnsi" w:cs="Arial"/>
          <w:b/>
          <w:color w:val="000000" w:themeColor="text1"/>
          <w:sz w:val="20"/>
          <w:szCs w:val="20"/>
          <w:u w:val="none"/>
        </w:rPr>
        <w:t>:</w:t>
      </w:r>
    </w:p>
    <w:p w:rsidR="00F372B0" w:rsidRPr="006F52DC" w:rsidRDefault="00F372B0" w:rsidP="006B65A0">
      <w:pPr>
        <w:ind w:left="630" w:right="1728"/>
        <w:jc w:val="center"/>
        <w:rPr>
          <w:rStyle w:val="Hyperlink"/>
          <w:rFonts w:asciiTheme="minorHAnsi" w:hAnsiTheme="minorHAnsi" w:cs="Arial"/>
          <w:b/>
          <w:color w:val="000000" w:themeColor="text1"/>
          <w:sz w:val="20"/>
          <w:szCs w:val="20"/>
          <w:u w:val="none"/>
        </w:rPr>
      </w:pPr>
    </w:p>
    <w:p w:rsidR="00C36026" w:rsidRDefault="00C36026"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Cherry Picking</w:t>
      </w:r>
      <w:r>
        <w:rPr>
          <w:rStyle w:val="Hyperlink"/>
          <w:rFonts w:asciiTheme="minorHAnsi" w:hAnsiTheme="minorHAnsi" w:cs="Arial"/>
          <w:color w:val="000000" w:themeColor="text1"/>
          <w:sz w:val="20"/>
          <w:szCs w:val="20"/>
          <w:u w:val="none"/>
        </w:rPr>
        <w:t>: The arbitrary selection of data to support one’s conclusion.</w:t>
      </w:r>
    </w:p>
    <w:p w:rsidR="00C36026" w:rsidRDefault="00C36026" w:rsidP="006B65A0">
      <w:pPr>
        <w:ind w:left="630" w:right="1728" w:hanging="720"/>
        <w:rPr>
          <w:rStyle w:val="Hyperlink"/>
          <w:rFonts w:asciiTheme="minorHAnsi" w:hAnsiTheme="minorHAnsi" w:cs="Arial"/>
          <w:color w:val="000000" w:themeColor="text1"/>
          <w:sz w:val="20"/>
          <w:szCs w:val="20"/>
          <w:u w:val="none"/>
        </w:rPr>
      </w:pPr>
    </w:p>
    <w:p w:rsidR="00FE498F" w:rsidRDefault="00FE498F"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Measurement validity</w:t>
      </w:r>
      <w:r>
        <w:rPr>
          <w:rStyle w:val="Hyperlink"/>
          <w:rFonts w:asciiTheme="minorHAnsi" w:hAnsiTheme="minorHAnsi" w:cs="Arial"/>
          <w:color w:val="000000" w:themeColor="text1"/>
          <w:sz w:val="20"/>
          <w:szCs w:val="20"/>
          <w:u w:val="none"/>
        </w:rPr>
        <w:t xml:space="preserve">: </w:t>
      </w:r>
      <w:r w:rsidR="009C0129">
        <w:rPr>
          <w:rStyle w:val="Hyperlink"/>
          <w:rFonts w:asciiTheme="minorHAnsi" w:hAnsiTheme="minorHAnsi" w:cs="Arial"/>
          <w:color w:val="000000" w:themeColor="text1"/>
          <w:sz w:val="20"/>
          <w:szCs w:val="20"/>
          <w:u w:val="none"/>
        </w:rPr>
        <w:t>T</w:t>
      </w:r>
      <w:r>
        <w:rPr>
          <w:rStyle w:val="Hyperlink"/>
          <w:rFonts w:asciiTheme="minorHAnsi" w:hAnsiTheme="minorHAnsi" w:cs="Arial"/>
          <w:color w:val="000000" w:themeColor="text1"/>
          <w:sz w:val="20"/>
          <w:szCs w:val="20"/>
          <w:u w:val="none"/>
        </w:rPr>
        <w:t>he indicator doesn’t really measure what it is assumed to measure.</w:t>
      </w:r>
    </w:p>
    <w:p w:rsidR="00FE498F" w:rsidRDefault="00FE498F" w:rsidP="006B65A0">
      <w:pPr>
        <w:ind w:left="630" w:right="1728" w:hanging="720"/>
        <w:rPr>
          <w:rStyle w:val="Hyperlink"/>
          <w:rFonts w:asciiTheme="minorHAnsi" w:hAnsiTheme="minorHAnsi" w:cs="Arial"/>
          <w:color w:val="000000" w:themeColor="text1"/>
          <w:sz w:val="20"/>
          <w:szCs w:val="20"/>
          <w:u w:val="none"/>
        </w:rPr>
      </w:pPr>
    </w:p>
    <w:p w:rsidR="00FE498F" w:rsidRDefault="00C36026"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Instrumentation or measurement reliability</w:t>
      </w:r>
      <w:r>
        <w:rPr>
          <w:rStyle w:val="Hyperlink"/>
          <w:rFonts w:asciiTheme="minorHAnsi" w:hAnsiTheme="minorHAnsi" w:cs="Arial"/>
          <w:color w:val="000000" w:themeColor="text1"/>
          <w:sz w:val="20"/>
          <w:szCs w:val="20"/>
          <w:u w:val="none"/>
        </w:rPr>
        <w:t>: Inconsistent measurement used in cross-time or cross-sectional comparisons.  US infant mortality statistics are based on a different standard for recording live births than other countries use.</w:t>
      </w:r>
      <w:r w:rsidR="00D146BA">
        <w:rPr>
          <w:rStyle w:val="Hyperlink"/>
          <w:rFonts w:asciiTheme="minorHAnsi" w:hAnsiTheme="minorHAnsi" w:cs="Arial"/>
          <w:color w:val="000000" w:themeColor="text1"/>
          <w:sz w:val="20"/>
          <w:szCs w:val="20"/>
          <w:u w:val="none"/>
        </w:rPr>
        <w:t xml:space="preserve">  Over time, improvements in police department recording of Index crimes may make it appear that crime is increasing.</w:t>
      </w:r>
      <w:r w:rsidR="00130C89">
        <w:rPr>
          <w:rStyle w:val="Hyperlink"/>
          <w:rFonts w:asciiTheme="minorHAnsi" w:hAnsiTheme="minorHAnsi" w:cs="Arial"/>
          <w:color w:val="000000" w:themeColor="text1"/>
          <w:sz w:val="20"/>
          <w:szCs w:val="20"/>
          <w:u w:val="none"/>
        </w:rPr>
        <w:t xml:space="preserve">  Hate crime data may be the most </w:t>
      </w:r>
      <w:r w:rsidR="00560770">
        <w:rPr>
          <w:rStyle w:val="Hyperlink"/>
          <w:rFonts w:asciiTheme="minorHAnsi" w:hAnsiTheme="minorHAnsi" w:cs="Arial"/>
          <w:color w:val="000000" w:themeColor="text1"/>
          <w:sz w:val="20"/>
          <w:szCs w:val="20"/>
          <w:u w:val="none"/>
        </w:rPr>
        <w:t>unreliable of any social indicator data.</w:t>
      </w:r>
      <w:r w:rsidR="008368BF">
        <w:rPr>
          <w:rStyle w:val="Hyperlink"/>
          <w:rFonts w:asciiTheme="minorHAnsi" w:hAnsiTheme="minorHAnsi" w:cs="Arial"/>
          <w:color w:val="000000" w:themeColor="text1"/>
          <w:sz w:val="20"/>
          <w:szCs w:val="20"/>
          <w:u w:val="none"/>
        </w:rPr>
        <w:t xml:space="preserve">  </w:t>
      </w:r>
    </w:p>
    <w:p w:rsidR="00C36026" w:rsidRDefault="00C36026" w:rsidP="006B65A0">
      <w:pPr>
        <w:ind w:left="360" w:right="1728" w:hanging="270"/>
        <w:rPr>
          <w:rStyle w:val="Hyperlink"/>
          <w:rFonts w:asciiTheme="minorHAnsi" w:hAnsiTheme="minorHAnsi" w:cs="Arial"/>
          <w:color w:val="000000" w:themeColor="text1"/>
          <w:sz w:val="20"/>
          <w:szCs w:val="20"/>
          <w:u w:val="none"/>
        </w:rPr>
      </w:pPr>
    </w:p>
    <w:p w:rsidR="00100C57" w:rsidRDefault="00C36026"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False cause</w:t>
      </w:r>
      <w:r>
        <w:rPr>
          <w:rStyle w:val="Hyperlink"/>
          <w:rFonts w:asciiTheme="minorHAnsi" w:hAnsiTheme="minorHAnsi" w:cs="Arial"/>
          <w:color w:val="000000" w:themeColor="text1"/>
          <w:sz w:val="20"/>
          <w:szCs w:val="20"/>
          <w:u w:val="none"/>
        </w:rPr>
        <w:t xml:space="preserve">: This includes almost </w:t>
      </w:r>
      <w:r w:rsidR="00AA54B5">
        <w:rPr>
          <w:rStyle w:val="Hyperlink"/>
          <w:rFonts w:asciiTheme="minorHAnsi" w:hAnsiTheme="minorHAnsi" w:cs="Arial"/>
          <w:color w:val="000000" w:themeColor="text1"/>
          <w:sz w:val="20"/>
          <w:szCs w:val="20"/>
          <w:u w:val="none"/>
        </w:rPr>
        <w:t xml:space="preserve">all </w:t>
      </w:r>
      <w:r>
        <w:rPr>
          <w:rStyle w:val="Hyperlink"/>
          <w:rFonts w:asciiTheme="minorHAnsi" w:hAnsiTheme="minorHAnsi" w:cs="Arial"/>
          <w:color w:val="000000" w:themeColor="text1"/>
          <w:sz w:val="20"/>
          <w:szCs w:val="20"/>
          <w:u w:val="none"/>
        </w:rPr>
        <w:t>of Donald T. Campbell’</w:t>
      </w:r>
      <w:r w:rsidR="00AA54B5">
        <w:rPr>
          <w:rStyle w:val="Hyperlink"/>
          <w:rFonts w:asciiTheme="minorHAnsi" w:hAnsiTheme="minorHAnsi" w:cs="Arial"/>
          <w:color w:val="000000" w:themeColor="text1"/>
          <w:sz w:val="20"/>
          <w:szCs w:val="20"/>
          <w:u w:val="none"/>
        </w:rPr>
        <w:t xml:space="preserve">s threats to internal validity as well as </w:t>
      </w:r>
      <w:r>
        <w:rPr>
          <w:rStyle w:val="Hyperlink"/>
          <w:rFonts w:asciiTheme="minorHAnsi" w:hAnsiTheme="minorHAnsi" w:cs="Arial"/>
          <w:color w:val="000000" w:themeColor="text1"/>
          <w:sz w:val="20"/>
          <w:szCs w:val="20"/>
          <w:u w:val="none"/>
        </w:rPr>
        <w:t xml:space="preserve">spurious relationships, the Ecological Fallacy, </w:t>
      </w:r>
      <w:r w:rsidR="008C569E">
        <w:rPr>
          <w:rStyle w:val="Hyperlink"/>
          <w:rFonts w:asciiTheme="minorHAnsi" w:hAnsiTheme="minorHAnsi" w:cs="Arial"/>
          <w:color w:val="000000" w:themeColor="text1"/>
          <w:sz w:val="20"/>
          <w:szCs w:val="20"/>
          <w:u w:val="none"/>
        </w:rPr>
        <w:t xml:space="preserve">reverse causation, </w:t>
      </w:r>
      <w:r w:rsidR="00AA54B5">
        <w:rPr>
          <w:rStyle w:val="Hyperlink"/>
          <w:rFonts w:asciiTheme="minorHAnsi" w:hAnsiTheme="minorHAnsi" w:cs="Arial"/>
          <w:color w:val="000000" w:themeColor="text1"/>
          <w:sz w:val="20"/>
          <w:szCs w:val="20"/>
          <w:u w:val="none"/>
        </w:rPr>
        <w:t xml:space="preserve">Simpson’s paradox and the general </w:t>
      </w:r>
      <w:r w:rsidR="008C569E">
        <w:rPr>
          <w:rStyle w:val="Hyperlink"/>
          <w:rFonts w:asciiTheme="minorHAnsi" w:hAnsiTheme="minorHAnsi" w:cs="Arial"/>
          <w:color w:val="000000" w:themeColor="text1"/>
          <w:sz w:val="20"/>
          <w:szCs w:val="20"/>
          <w:u w:val="none"/>
        </w:rPr>
        <w:t>p</w:t>
      </w:r>
      <w:r w:rsidRPr="00C36026">
        <w:rPr>
          <w:rStyle w:val="Hyperlink"/>
          <w:rFonts w:asciiTheme="minorHAnsi" w:hAnsiTheme="minorHAnsi" w:cs="Arial"/>
          <w:color w:val="000000" w:themeColor="text1"/>
          <w:sz w:val="20"/>
          <w:szCs w:val="20"/>
          <w:u w:val="none"/>
        </w:rPr>
        <w:t>ost hoc ergo propter hoc</w:t>
      </w:r>
      <w:r w:rsidR="00AA54B5">
        <w:rPr>
          <w:rStyle w:val="Hyperlink"/>
          <w:rFonts w:asciiTheme="minorHAnsi" w:hAnsiTheme="minorHAnsi" w:cs="Arial"/>
          <w:color w:val="000000" w:themeColor="text1"/>
          <w:sz w:val="20"/>
          <w:szCs w:val="20"/>
          <w:u w:val="none"/>
        </w:rPr>
        <w:t xml:space="preserve"> fallacy.</w:t>
      </w:r>
    </w:p>
    <w:p w:rsidR="00130C89" w:rsidRDefault="00130C89" w:rsidP="006B65A0">
      <w:pPr>
        <w:ind w:left="630" w:right="1728" w:hanging="720"/>
        <w:rPr>
          <w:rStyle w:val="Hyperlink"/>
          <w:rFonts w:asciiTheme="minorHAnsi" w:hAnsiTheme="minorHAnsi" w:cs="Arial"/>
          <w:color w:val="000000" w:themeColor="text1"/>
          <w:sz w:val="20"/>
          <w:szCs w:val="20"/>
          <w:u w:val="none"/>
        </w:rPr>
      </w:pPr>
    </w:p>
    <w:p w:rsidR="00130C89" w:rsidRDefault="00130C89" w:rsidP="006B65A0">
      <w:pPr>
        <w:ind w:left="630" w:right="1728" w:hanging="720"/>
        <w:rPr>
          <w:rStyle w:val="Hyperlink"/>
          <w:rFonts w:asciiTheme="minorHAnsi" w:hAnsiTheme="minorHAnsi" w:cs="Arial"/>
          <w:color w:val="000000" w:themeColor="text1"/>
          <w:sz w:val="20"/>
          <w:szCs w:val="20"/>
          <w:u w:val="none"/>
        </w:rPr>
      </w:pPr>
      <w:r w:rsidRPr="00D146BA">
        <w:rPr>
          <w:rStyle w:val="Hyperlink"/>
          <w:rFonts w:asciiTheme="minorHAnsi" w:hAnsiTheme="minorHAnsi" w:cs="Arial"/>
          <w:b/>
          <w:color w:val="000000" w:themeColor="text1"/>
          <w:sz w:val="20"/>
          <w:szCs w:val="20"/>
          <w:u w:val="none"/>
        </w:rPr>
        <w:t>Simpson’s paradox:</w:t>
      </w:r>
      <w:r>
        <w:rPr>
          <w:rStyle w:val="Hyperlink"/>
          <w:rFonts w:asciiTheme="minorHAnsi" w:hAnsiTheme="minorHAnsi" w:cs="Arial"/>
          <w:color w:val="000000" w:themeColor="text1"/>
          <w:sz w:val="20"/>
          <w:szCs w:val="20"/>
          <w:u w:val="none"/>
        </w:rPr>
        <w:t xml:space="preserve">  A version of false-cause\ confounding-effect fallacies. A relationship between two variables may be completely reversed when examining the relationship within each subgroup of the population.  In a university, male professors may earn more than women, yet earn less at every academic rank.</w:t>
      </w:r>
    </w:p>
    <w:p w:rsidR="00130C89" w:rsidRDefault="00130C89" w:rsidP="006B65A0">
      <w:pPr>
        <w:ind w:left="630" w:right="1728" w:hanging="720"/>
        <w:rPr>
          <w:rStyle w:val="Hyperlink"/>
          <w:rFonts w:asciiTheme="minorHAnsi" w:hAnsiTheme="minorHAnsi" w:cs="Arial"/>
          <w:color w:val="000000" w:themeColor="text1"/>
          <w:sz w:val="20"/>
          <w:szCs w:val="20"/>
          <w:u w:val="none"/>
        </w:rPr>
      </w:pPr>
    </w:p>
    <w:p w:rsidR="00130C89" w:rsidRDefault="00130C89"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Experimental fallacies</w:t>
      </w:r>
      <w:r>
        <w:rPr>
          <w:rStyle w:val="Hyperlink"/>
          <w:rFonts w:asciiTheme="minorHAnsi" w:hAnsiTheme="minorHAnsi" w:cs="Arial"/>
          <w:color w:val="000000" w:themeColor="text1"/>
          <w:sz w:val="20"/>
          <w:szCs w:val="20"/>
          <w:u w:val="none"/>
        </w:rPr>
        <w:t xml:space="preserve">: sample mortality and maturation, testing effects, selection bias, Hawthorne effects, and multiple treatments.  </w:t>
      </w:r>
    </w:p>
    <w:p w:rsidR="00130C89" w:rsidRDefault="00130C89" w:rsidP="006B65A0">
      <w:pPr>
        <w:ind w:left="630" w:right="1728" w:hanging="720"/>
        <w:rPr>
          <w:rStyle w:val="Hyperlink"/>
          <w:rFonts w:asciiTheme="minorHAnsi" w:hAnsiTheme="minorHAnsi" w:cs="Arial"/>
          <w:color w:val="000000" w:themeColor="text1"/>
          <w:sz w:val="20"/>
          <w:szCs w:val="20"/>
          <w:u w:val="none"/>
        </w:rPr>
      </w:pPr>
    </w:p>
    <w:p w:rsidR="00100C57" w:rsidRDefault="00100C57"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Statistical significance fallacies</w:t>
      </w:r>
      <w:r>
        <w:rPr>
          <w:rStyle w:val="Hyperlink"/>
          <w:rFonts w:asciiTheme="minorHAnsi" w:hAnsiTheme="minorHAnsi" w:cs="Arial"/>
          <w:color w:val="000000" w:themeColor="text1"/>
          <w:sz w:val="20"/>
          <w:szCs w:val="20"/>
          <w:u w:val="none"/>
        </w:rPr>
        <w:t>:  Assuming because there is no significant relationship that there is no relationship. Or, assuming because there is a statistically significant that the relationship is truly “significant”</w:t>
      </w:r>
      <w:r w:rsidR="006F52DC">
        <w:rPr>
          <w:rStyle w:val="Hyperlink"/>
          <w:rFonts w:asciiTheme="minorHAnsi" w:hAnsiTheme="minorHAnsi" w:cs="Arial"/>
          <w:color w:val="000000" w:themeColor="text1"/>
          <w:sz w:val="20"/>
          <w:szCs w:val="20"/>
          <w:u w:val="none"/>
        </w:rPr>
        <w:t>.  Sampling error is usually the least important cause of measurement reliability.  Survey response rate errors are far more serious.</w:t>
      </w:r>
    </w:p>
    <w:p w:rsidR="00100C57" w:rsidRDefault="00100C57" w:rsidP="006B65A0">
      <w:pPr>
        <w:ind w:left="630" w:right="1728" w:hanging="720"/>
        <w:rPr>
          <w:rStyle w:val="Hyperlink"/>
          <w:rFonts w:asciiTheme="minorHAnsi" w:hAnsiTheme="minorHAnsi" w:cs="Arial"/>
          <w:color w:val="000000" w:themeColor="text1"/>
          <w:sz w:val="20"/>
          <w:szCs w:val="20"/>
          <w:u w:val="none"/>
        </w:rPr>
      </w:pPr>
    </w:p>
    <w:p w:rsidR="00100C57" w:rsidRDefault="00100C57"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The trend is not your friend</w:t>
      </w:r>
      <w:r>
        <w:rPr>
          <w:rStyle w:val="Hyperlink"/>
          <w:rFonts w:asciiTheme="minorHAnsi" w:hAnsiTheme="minorHAnsi" w:cs="Arial"/>
          <w:color w:val="000000" w:themeColor="text1"/>
          <w:sz w:val="20"/>
          <w:szCs w:val="20"/>
          <w:u w:val="none"/>
        </w:rPr>
        <w:t>: Smart stock market analysts know this but always seem to forget it when things are going really well.</w:t>
      </w:r>
    </w:p>
    <w:p w:rsidR="00100C57" w:rsidRDefault="00100C57" w:rsidP="006B65A0">
      <w:pPr>
        <w:ind w:left="630" w:right="1728" w:hanging="720"/>
        <w:rPr>
          <w:rStyle w:val="Hyperlink"/>
          <w:rFonts w:asciiTheme="minorHAnsi" w:hAnsiTheme="minorHAnsi" w:cs="Arial"/>
          <w:color w:val="000000" w:themeColor="text1"/>
          <w:sz w:val="20"/>
          <w:szCs w:val="20"/>
          <w:u w:val="none"/>
        </w:rPr>
      </w:pPr>
    </w:p>
    <w:p w:rsidR="00100C57" w:rsidRDefault="00100C57"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Regression artifact or regression to the mean</w:t>
      </w:r>
      <w:r w:rsidR="006F52DC">
        <w:rPr>
          <w:rStyle w:val="Hyperlink"/>
          <w:rFonts w:asciiTheme="minorHAnsi" w:hAnsiTheme="minorHAnsi" w:cs="Arial"/>
          <w:b/>
          <w:color w:val="000000" w:themeColor="text1"/>
          <w:sz w:val="20"/>
          <w:szCs w:val="20"/>
          <w:u w:val="none"/>
        </w:rPr>
        <w:t>;</w:t>
      </w:r>
      <w:r w:rsidRPr="006F52DC">
        <w:rPr>
          <w:rStyle w:val="Hyperlink"/>
          <w:rFonts w:asciiTheme="minorHAnsi" w:hAnsiTheme="minorHAnsi" w:cs="Arial"/>
          <w:b/>
          <w:color w:val="000000" w:themeColor="text1"/>
          <w:sz w:val="20"/>
          <w:szCs w:val="20"/>
          <w:u w:val="none"/>
        </w:rPr>
        <w:t xml:space="preserve">   </w:t>
      </w:r>
      <w:r>
        <w:rPr>
          <w:rStyle w:val="Hyperlink"/>
          <w:rFonts w:asciiTheme="minorHAnsi" w:hAnsiTheme="minorHAnsi" w:cs="Arial"/>
          <w:color w:val="000000" w:themeColor="text1"/>
          <w:sz w:val="20"/>
          <w:szCs w:val="20"/>
          <w:u w:val="none"/>
        </w:rPr>
        <w:t>Many medical remedies are assumed beneficial because patients are better after taking the remedy.  Many government policies are assumed to work for the same reason.</w:t>
      </w:r>
      <w:r w:rsidR="00AF17F5">
        <w:rPr>
          <w:rStyle w:val="Hyperlink"/>
          <w:rFonts w:asciiTheme="minorHAnsi" w:hAnsiTheme="minorHAnsi" w:cs="Arial"/>
          <w:color w:val="000000" w:themeColor="text1"/>
          <w:sz w:val="20"/>
          <w:szCs w:val="20"/>
          <w:u w:val="none"/>
        </w:rPr>
        <w:t xml:space="preserve">  Policies implemented at times when there is an adverse jump or plunge in a social indicator are found to be effective when the indicator returns to its normal range (or regression to the mean). </w:t>
      </w: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Default="009943D3" w:rsidP="006B65A0">
      <w:pPr>
        <w:ind w:left="630" w:right="1728" w:hanging="720"/>
        <w:rPr>
          <w:rStyle w:val="Hyperlink"/>
          <w:rFonts w:asciiTheme="minorHAnsi" w:hAnsiTheme="minorHAnsi" w:cs="Arial"/>
          <w:color w:val="000000" w:themeColor="text1"/>
          <w:sz w:val="20"/>
          <w:szCs w:val="20"/>
          <w:u w:val="none"/>
        </w:rPr>
      </w:pPr>
    </w:p>
    <w:p w:rsidR="009943D3" w:rsidRPr="009943D3" w:rsidRDefault="009943D3" w:rsidP="006B65A0">
      <w:pPr>
        <w:ind w:left="630" w:right="1728" w:hanging="720"/>
        <w:rPr>
          <w:rStyle w:val="Hyperlink"/>
          <w:rFonts w:asciiTheme="minorHAnsi" w:hAnsiTheme="minorHAnsi" w:cs="Arial"/>
          <w:b/>
          <w:color w:val="000000" w:themeColor="text1"/>
          <w:sz w:val="20"/>
          <w:szCs w:val="20"/>
          <w:u w:val="none"/>
        </w:rPr>
      </w:pPr>
      <w:r w:rsidRPr="009943D3">
        <w:rPr>
          <w:rStyle w:val="Hyperlink"/>
          <w:rFonts w:asciiTheme="minorHAnsi" w:hAnsiTheme="minorHAnsi" w:cs="Arial"/>
          <w:b/>
          <w:color w:val="000000" w:themeColor="text1"/>
          <w:sz w:val="20"/>
          <w:szCs w:val="20"/>
          <w:u w:val="none"/>
        </w:rPr>
        <w:lastRenderedPageBreak/>
        <w:t>Ecological Fallacy</w:t>
      </w:r>
      <w:r>
        <w:rPr>
          <w:rStyle w:val="Hyperlink"/>
          <w:rFonts w:asciiTheme="minorHAnsi" w:hAnsiTheme="minorHAnsi" w:cs="Arial"/>
          <w:color w:val="000000" w:themeColor="text1"/>
          <w:sz w:val="20"/>
          <w:szCs w:val="20"/>
          <w:u w:val="none"/>
        </w:rPr>
        <w:t>: What is true at the aggregate level may not be true at the individual level.   In 1950, William S. Robinson observed that states with the highest rates of foreign</w:t>
      </w:r>
      <w:r w:rsidR="006B65A0">
        <w:rPr>
          <w:rStyle w:val="Hyperlink"/>
          <w:rFonts w:asciiTheme="minorHAnsi" w:hAnsiTheme="minorHAnsi" w:cs="Arial"/>
          <w:color w:val="000000" w:themeColor="text1"/>
          <w:sz w:val="20"/>
          <w:szCs w:val="20"/>
          <w:u w:val="none"/>
        </w:rPr>
        <w:t>-</w:t>
      </w:r>
      <w:r>
        <w:rPr>
          <w:rStyle w:val="Hyperlink"/>
          <w:rFonts w:asciiTheme="minorHAnsi" w:hAnsiTheme="minorHAnsi" w:cs="Arial"/>
          <w:color w:val="000000" w:themeColor="text1"/>
          <w:sz w:val="20"/>
          <w:szCs w:val="20"/>
          <w:u w:val="none"/>
        </w:rPr>
        <w:t xml:space="preserve">born population had the highest literacy rates, even though foreign born </w:t>
      </w:r>
      <w:r w:rsidR="006B65A0">
        <w:rPr>
          <w:rStyle w:val="Hyperlink"/>
          <w:rFonts w:asciiTheme="minorHAnsi" w:hAnsiTheme="minorHAnsi" w:cs="Arial"/>
          <w:color w:val="000000" w:themeColor="text1"/>
          <w:sz w:val="20"/>
          <w:szCs w:val="20"/>
          <w:u w:val="none"/>
        </w:rPr>
        <w:t xml:space="preserve">persons </w:t>
      </w:r>
      <w:r>
        <w:rPr>
          <w:rStyle w:val="Hyperlink"/>
          <w:rFonts w:asciiTheme="minorHAnsi" w:hAnsiTheme="minorHAnsi" w:cs="Arial"/>
          <w:color w:val="000000" w:themeColor="text1"/>
          <w:sz w:val="20"/>
          <w:szCs w:val="20"/>
          <w:u w:val="none"/>
        </w:rPr>
        <w:t>had lower rates of literacy.</w:t>
      </w:r>
    </w:p>
    <w:p w:rsidR="00CA67E6" w:rsidRDefault="00CA67E6" w:rsidP="006B65A0">
      <w:pPr>
        <w:ind w:left="630" w:right="1728"/>
        <w:rPr>
          <w:rStyle w:val="Hyperlink"/>
          <w:rFonts w:asciiTheme="minorHAnsi" w:hAnsiTheme="minorHAnsi" w:cs="Arial"/>
          <w:color w:val="000000" w:themeColor="text1"/>
          <w:sz w:val="20"/>
          <w:szCs w:val="20"/>
          <w:u w:val="none"/>
        </w:rPr>
      </w:pPr>
    </w:p>
    <w:p w:rsidR="00DA1B08" w:rsidRDefault="00DA1B08" w:rsidP="006B65A0">
      <w:pPr>
        <w:ind w:left="630" w:right="1728" w:hanging="720"/>
        <w:rPr>
          <w:rStyle w:val="Hyperlink"/>
          <w:rFonts w:asciiTheme="minorHAnsi" w:hAnsiTheme="minorHAnsi" w:cs="Arial"/>
          <w:color w:val="000000" w:themeColor="text1"/>
          <w:sz w:val="20"/>
          <w:szCs w:val="20"/>
          <w:u w:val="none"/>
        </w:rPr>
      </w:pPr>
      <w:r w:rsidRPr="006F52DC">
        <w:rPr>
          <w:rStyle w:val="Hyperlink"/>
          <w:rFonts w:asciiTheme="minorHAnsi" w:hAnsiTheme="minorHAnsi" w:cs="Arial"/>
          <w:b/>
          <w:color w:val="000000" w:themeColor="text1"/>
          <w:sz w:val="20"/>
          <w:szCs w:val="20"/>
          <w:u w:val="none"/>
        </w:rPr>
        <w:t>False accuracy</w:t>
      </w:r>
      <w:r>
        <w:rPr>
          <w:rStyle w:val="Hyperlink"/>
          <w:rFonts w:asciiTheme="minorHAnsi" w:hAnsiTheme="minorHAnsi" w:cs="Arial"/>
          <w:color w:val="000000" w:themeColor="text1"/>
          <w:sz w:val="20"/>
          <w:szCs w:val="20"/>
          <w:u w:val="none"/>
        </w:rPr>
        <w:t xml:space="preserve">:  </w:t>
      </w:r>
      <w:r w:rsidR="00560770">
        <w:rPr>
          <w:rStyle w:val="Hyperlink"/>
          <w:rFonts w:asciiTheme="minorHAnsi" w:hAnsiTheme="minorHAnsi" w:cs="Arial"/>
          <w:color w:val="000000" w:themeColor="text1"/>
          <w:sz w:val="20"/>
          <w:szCs w:val="20"/>
          <w:u w:val="none"/>
        </w:rPr>
        <w:t>Suppose a</w:t>
      </w:r>
      <w:r>
        <w:rPr>
          <w:rStyle w:val="Hyperlink"/>
          <w:rFonts w:asciiTheme="minorHAnsi" w:hAnsiTheme="minorHAnsi" w:cs="Arial"/>
          <w:color w:val="000000" w:themeColor="text1"/>
          <w:sz w:val="20"/>
          <w:szCs w:val="20"/>
          <w:u w:val="none"/>
        </w:rPr>
        <w:t xml:space="preserve"> medical test is said to be 95% accurate. Ten percent of those tested have positive results.  In fact, about half of those positive results will be false-positives. </w:t>
      </w:r>
      <w:r w:rsidR="004E0E2E">
        <w:rPr>
          <w:rStyle w:val="Hyperlink"/>
          <w:rFonts w:asciiTheme="minorHAnsi" w:hAnsiTheme="minorHAnsi" w:cs="Arial"/>
          <w:color w:val="000000" w:themeColor="text1"/>
          <w:sz w:val="20"/>
          <w:szCs w:val="20"/>
          <w:u w:val="none"/>
        </w:rPr>
        <w:t xml:space="preserve"> If nobody really had the disease, 5% of the results would be false-positive.</w:t>
      </w:r>
    </w:p>
    <w:p w:rsidR="00CA67E6" w:rsidRDefault="00CA67E6" w:rsidP="006B65A0">
      <w:pPr>
        <w:ind w:left="630"/>
        <w:rPr>
          <w:rStyle w:val="Hyperlink"/>
          <w:rFonts w:asciiTheme="minorHAnsi" w:hAnsiTheme="minorHAnsi" w:cs="Arial"/>
          <w:color w:val="000000" w:themeColor="text1"/>
          <w:sz w:val="20"/>
          <w:szCs w:val="20"/>
          <w:u w:val="none"/>
        </w:rPr>
      </w:pPr>
    </w:p>
    <w:p w:rsidR="00DA1B08" w:rsidRDefault="00DA1B08" w:rsidP="006B65A0">
      <w:pPr>
        <w:ind w:left="630" w:right="1728" w:hanging="720"/>
        <w:rPr>
          <w:rStyle w:val="Hyperlink"/>
          <w:rFonts w:asciiTheme="minorHAnsi" w:hAnsiTheme="minorHAnsi" w:cs="Arial"/>
          <w:color w:val="000000" w:themeColor="text1"/>
          <w:sz w:val="20"/>
          <w:szCs w:val="20"/>
          <w:u w:val="none"/>
        </w:rPr>
      </w:pPr>
      <w:r w:rsidRPr="008E337B">
        <w:rPr>
          <w:rStyle w:val="Hyperlink"/>
          <w:rFonts w:asciiTheme="minorHAnsi" w:hAnsiTheme="minorHAnsi" w:cs="Arial"/>
          <w:b/>
          <w:color w:val="000000" w:themeColor="text1"/>
          <w:sz w:val="20"/>
          <w:szCs w:val="20"/>
          <w:u w:val="none"/>
        </w:rPr>
        <w:t>Rate of Change Fallacy:</w:t>
      </w:r>
      <w:r>
        <w:rPr>
          <w:rStyle w:val="Hyperlink"/>
          <w:rFonts w:asciiTheme="minorHAnsi" w:hAnsiTheme="minorHAnsi" w:cs="Arial"/>
          <w:color w:val="000000" w:themeColor="text1"/>
          <w:sz w:val="20"/>
          <w:szCs w:val="20"/>
          <w:u w:val="none"/>
        </w:rPr>
        <w:t xml:space="preserve"> </w:t>
      </w:r>
      <w:r w:rsidR="008E337B">
        <w:rPr>
          <w:rStyle w:val="Hyperlink"/>
          <w:rFonts w:asciiTheme="minorHAnsi" w:hAnsiTheme="minorHAnsi" w:cs="Arial"/>
          <w:color w:val="000000" w:themeColor="text1"/>
          <w:sz w:val="20"/>
          <w:szCs w:val="20"/>
          <w:u w:val="none"/>
        </w:rPr>
        <w:t>Comparing differences in rates of change between groups that begin at substantially different levels.</w:t>
      </w:r>
      <w:r w:rsidR="00560770">
        <w:rPr>
          <w:rStyle w:val="Hyperlink"/>
          <w:rFonts w:asciiTheme="minorHAnsi" w:hAnsiTheme="minorHAnsi" w:cs="Arial"/>
          <w:color w:val="000000" w:themeColor="text1"/>
          <w:sz w:val="20"/>
          <w:szCs w:val="20"/>
          <w:u w:val="none"/>
        </w:rPr>
        <w:t xml:space="preserve">  Often found in arguments concluding that disadvantaged groups are “closing the gap.”</w:t>
      </w:r>
    </w:p>
    <w:p w:rsidR="00CA67E6" w:rsidRDefault="00CA67E6" w:rsidP="006B65A0">
      <w:pPr>
        <w:ind w:left="630"/>
        <w:rPr>
          <w:rStyle w:val="Hyperlink"/>
          <w:rFonts w:asciiTheme="minorHAnsi" w:hAnsiTheme="minorHAnsi" w:cs="Arial"/>
          <w:color w:val="000000" w:themeColor="text1"/>
          <w:sz w:val="20"/>
          <w:szCs w:val="20"/>
          <w:u w:val="none"/>
        </w:rPr>
      </w:pPr>
    </w:p>
    <w:p w:rsidR="00CA67E6" w:rsidRDefault="00CA67E6" w:rsidP="00CA67E6">
      <w:pPr>
        <w:rPr>
          <w:rStyle w:val="Hyperlink"/>
          <w:rFonts w:asciiTheme="minorHAnsi" w:hAnsiTheme="minorHAnsi" w:cs="Arial"/>
          <w:color w:val="000000" w:themeColor="text1"/>
          <w:sz w:val="20"/>
          <w:szCs w:val="20"/>
          <w:u w:val="none"/>
        </w:rPr>
      </w:pPr>
    </w:p>
    <w:tbl>
      <w:tblPr>
        <w:tblStyle w:val="TableGrid"/>
        <w:tblW w:w="9720" w:type="dxa"/>
        <w:tblInd w:w="738" w:type="dxa"/>
        <w:tblLook w:val="04A0"/>
      </w:tblPr>
      <w:tblGrid>
        <w:gridCol w:w="4806"/>
        <w:gridCol w:w="4914"/>
      </w:tblGrid>
      <w:tr w:rsidR="00CA67E6" w:rsidTr="001617C9">
        <w:tc>
          <w:tcPr>
            <w:tcW w:w="4806" w:type="dxa"/>
          </w:tcPr>
          <w:p w:rsidR="00CA67E6" w:rsidRDefault="00CA67E6" w:rsidP="00660A7E">
            <w:pPr>
              <w:rPr>
                <w:rFonts w:ascii="Arial" w:hAnsi="Arial" w:cs="Arial"/>
                <w:color w:val="000000"/>
                <w:sz w:val="16"/>
                <w:szCs w:val="16"/>
              </w:rPr>
            </w:pPr>
            <w:r w:rsidRPr="002D363B">
              <w:rPr>
                <w:rFonts w:ascii="Arial" w:hAnsi="Arial" w:cs="Arial"/>
                <w:b/>
                <w:color w:val="000000"/>
                <w:sz w:val="20"/>
                <w:szCs w:val="20"/>
              </w:rPr>
              <w:t>Cherry Picking:</w:t>
            </w:r>
            <w:r w:rsidRPr="00720D5C">
              <w:rPr>
                <w:rFonts w:ascii="Arial" w:hAnsi="Arial" w:cs="Arial"/>
                <w:color w:val="000000"/>
                <w:sz w:val="16"/>
                <w:szCs w:val="16"/>
              </w:rPr>
              <w:br/>
              <w:t xml:space="preserve">  How President Bush lowered the poverty rate*  (Bill O'Reilly)</w:t>
            </w:r>
          </w:p>
          <w:p w:rsidR="00CA67E6" w:rsidRDefault="00CA67E6" w:rsidP="00660A7E">
            <w:pPr>
              <w:jc w:val="center"/>
            </w:pPr>
            <w:r w:rsidRPr="00C72CFE">
              <w:rPr>
                <w:rFonts w:ascii="Arial" w:hAnsi="Arial" w:cs="Arial"/>
                <w:noProof/>
                <w:color w:val="000000"/>
                <w:sz w:val="16"/>
                <w:szCs w:val="16"/>
              </w:rPr>
              <w:drawing>
                <wp:inline distT="0" distB="0" distL="0" distR="0">
                  <wp:extent cx="2430780" cy="1684488"/>
                  <wp:effectExtent l="19050" t="0" r="7620" b="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426523" cy="1681538"/>
                          </a:xfrm>
                          <a:prstGeom prst="rect">
                            <a:avLst/>
                          </a:prstGeom>
                          <a:noFill/>
                          <a:ln w="9525">
                            <a:noFill/>
                            <a:miter lim="800000"/>
                            <a:headEnd/>
                            <a:tailEnd/>
                          </a:ln>
                        </pic:spPr>
                      </pic:pic>
                    </a:graphicData>
                  </a:graphic>
                </wp:inline>
              </w:drawing>
            </w:r>
          </w:p>
        </w:tc>
        <w:tc>
          <w:tcPr>
            <w:tcW w:w="4914" w:type="dxa"/>
          </w:tcPr>
          <w:p w:rsidR="00AF17F5" w:rsidRDefault="003E6E04" w:rsidP="00AF17F5">
            <w:pPr>
              <w:rPr>
                <w:rFonts w:ascii="Arial" w:hAnsi="Arial" w:cs="Arial"/>
                <w:i/>
                <w:iCs/>
                <w:color w:val="000000"/>
                <w:sz w:val="16"/>
                <w:szCs w:val="16"/>
              </w:rPr>
            </w:pPr>
            <w:hyperlink r:id="rId31" w:history="1">
              <w:r w:rsidR="00CA67E6" w:rsidRPr="000C2319">
                <w:rPr>
                  <w:rStyle w:val="Hyperlink"/>
                  <w:rFonts w:ascii="Arial" w:hAnsi="Arial" w:cs="Arial"/>
                  <w:b/>
                  <w:sz w:val="20"/>
                  <w:szCs w:val="20"/>
                </w:rPr>
                <w:t>Cherry Picking</w:t>
              </w:r>
            </w:hyperlink>
            <w:r w:rsidR="00CA67E6" w:rsidRPr="002D363B">
              <w:rPr>
                <w:rFonts w:ascii="Arial" w:hAnsi="Arial" w:cs="Arial"/>
                <w:b/>
                <w:color w:val="000000"/>
                <w:sz w:val="20"/>
                <w:szCs w:val="20"/>
              </w:rPr>
              <w:t xml:space="preserve">: </w:t>
            </w:r>
            <w:r w:rsidR="00CA67E6" w:rsidRPr="002D363B">
              <w:rPr>
                <w:rFonts w:ascii="Arial" w:hAnsi="Arial" w:cs="Arial"/>
                <w:b/>
                <w:color w:val="000000"/>
                <w:sz w:val="20"/>
                <w:szCs w:val="20"/>
              </w:rPr>
              <w:br/>
            </w:r>
            <w:r w:rsidR="00CA67E6" w:rsidRPr="00720D5C">
              <w:rPr>
                <w:rFonts w:ascii="Arial" w:hAnsi="Arial" w:cs="Arial"/>
                <w:color w:val="000000"/>
                <w:sz w:val="16"/>
                <w:szCs w:val="16"/>
              </w:rPr>
              <w:t xml:space="preserve">  Distribution of 248 z-scores in 17 political </w:t>
            </w:r>
            <w:r w:rsidR="00965F66">
              <w:rPr>
                <w:rFonts w:ascii="Arial" w:hAnsi="Arial" w:cs="Arial"/>
                <w:color w:val="000000"/>
                <w:sz w:val="16"/>
                <w:szCs w:val="16"/>
              </w:rPr>
              <w:t>economy studies</w:t>
            </w:r>
            <w:r w:rsidR="00965F66">
              <w:rPr>
                <w:rFonts w:ascii="Arial" w:hAnsi="Arial" w:cs="Arial"/>
                <w:color w:val="000000"/>
                <w:sz w:val="16"/>
                <w:szCs w:val="16"/>
              </w:rPr>
              <w:br/>
              <w:t xml:space="preserve">                                                     --</w:t>
            </w:r>
            <w:r w:rsidR="00CA67E6" w:rsidRPr="00720D5C">
              <w:rPr>
                <w:rFonts w:ascii="Arial" w:hAnsi="Arial" w:cs="Arial"/>
                <w:color w:val="000000"/>
                <w:sz w:val="16"/>
                <w:szCs w:val="16"/>
              </w:rPr>
              <w:t xml:space="preserve">Tufte, </w:t>
            </w:r>
            <w:r w:rsidR="00965F66">
              <w:rPr>
                <w:rFonts w:ascii="Arial" w:hAnsi="Arial" w:cs="Arial"/>
                <w:i/>
                <w:iCs/>
                <w:color w:val="000000"/>
                <w:sz w:val="16"/>
                <w:szCs w:val="16"/>
              </w:rPr>
              <w:t>Beautiful Evidence</w:t>
            </w:r>
          </w:p>
          <w:p w:rsidR="00CA67E6" w:rsidRDefault="00CA67E6" w:rsidP="00AF17F5">
            <w:pPr>
              <w:jc w:val="center"/>
            </w:pPr>
            <w:r w:rsidRPr="00C72CFE">
              <w:rPr>
                <w:rFonts w:ascii="Arial" w:hAnsi="Arial" w:cs="Arial"/>
                <w:i/>
                <w:iCs/>
                <w:noProof/>
                <w:color w:val="000000"/>
                <w:sz w:val="16"/>
                <w:szCs w:val="16"/>
              </w:rPr>
              <w:drawing>
                <wp:inline distT="0" distB="0" distL="0" distR="0">
                  <wp:extent cx="2171700" cy="1409700"/>
                  <wp:effectExtent l="1905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171700" cy="1409700"/>
                          </a:xfrm>
                          <a:prstGeom prst="rect">
                            <a:avLst/>
                          </a:prstGeom>
                          <a:noFill/>
                          <a:ln w="9525">
                            <a:noFill/>
                            <a:miter lim="800000"/>
                            <a:headEnd/>
                            <a:tailEnd/>
                          </a:ln>
                        </pic:spPr>
                      </pic:pic>
                    </a:graphicData>
                  </a:graphic>
                </wp:inline>
              </w:drawing>
            </w:r>
          </w:p>
        </w:tc>
      </w:tr>
      <w:tr w:rsidR="00CA67E6" w:rsidTr="001617C9">
        <w:tc>
          <w:tcPr>
            <w:tcW w:w="4806" w:type="dxa"/>
          </w:tcPr>
          <w:p w:rsidR="00CA67E6" w:rsidRDefault="00CA67E6" w:rsidP="00660A7E">
            <w:pPr>
              <w:jc w:val="center"/>
            </w:pPr>
            <w:r w:rsidRPr="00720D5C">
              <w:rPr>
                <w:rFonts w:ascii="Arial" w:hAnsi="Arial" w:cs="Arial"/>
                <w:sz w:val="16"/>
                <w:szCs w:val="16"/>
              </w:rPr>
              <w:t>“[</w:t>
            </w:r>
            <w:r w:rsidRPr="00102BC8">
              <w:rPr>
                <w:rFonts w:ascii="Arial" w:hAnsi="Arial" w:cs="Arial"/>
                <w:i/>
                <w:sz w:val="16"/>
                <w:szCs w:val="16"/>
              </w:rPr>
              <w:t xml:space="preserve">after the full Reagan tax cut in 1983]… </w:t>
            </w:r>
            <w:r w:rsidRPr="00102BC8">
              <w:rPr>
                <w:rFonts w:ascii="Arial" w:hAnsi="Arial" w:cs="Arial"/>
                <w:i/>
                <w:sz w:val="16"/>
                <w:szCs w:val="16"/>
              </w:rPr>
              <w:br/>
              <w:t xml:space="preserve"> income tax  revenues climbed dramatically… </w:t>
            </w:r>
            <w:r w:rsidRPr="00102BC8">
              <w:rPr>
                <w:rFonts w:ascii="Arial" w:hAnsi="Arial" w:cs="Arial"/>
                <w:i/>
                <w:sz w:val="16"/>
                <w:szCs w:val="16"/>
              </w:rPr>
              <w:br/>
              <w:t xml:space="preserve"> more than … 28% by 1989”</w:t>
            </w:r>
            <w:r w:rsidRPr="00720D5C">
              <w:rPr>
                <w:rFonts w:ascii="Arial" w:hAnsi="Arial" w:cs="Arial"/>
                <w:sz w:val="16"/>
                <w:szCs w:val="16"/>
              </w:rPr>
              <w:t xml:space="preserve"> (Mitchell)</w:t>
            </w:r>
            <w:r w:rsidR="00AF17F5">
              <w:rPr>
                <w:rFonts w:ascii="Arial" w:hAnsi="Arial" w:cs="Arial"/>
                <w:sz w:val="16"/>
                <w:szCs w:val="16"/>
              </w:rPr>
              <w:br/>
            </w:r>
            <w:r w:rsidR="008C569E">
              <w:rPr>
                <w:noProof/>
              </w:rPr>
              <w:drawing>
                <wp:inline distT="0" distB="0" distL="0" distR="0">
                  <wp:extent cx="2811780" cy="1844040"/>
                  <wp:effectExtent l="0" t="0" r="762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811780" cy="1844040"/>
                          </a:xfrm>
                          <a:prstGeom prst="rect">
                            <a:avLst/>
                          </a:prstGeom>
                          <a:noFill/>
                          <a:ln w="9525">
                            <a:noFill/>
                            <a:miter lim="800000"/>
                            <a:headEnd/>
                            <a:tailEnd/>
                          </a:ln>
                        </pic:spPr>
                      </pic:pic>
                    </a:graphicData>
                  </a:graphic>
                </wp:inline>
              </w:drawing>
            </w:r>
          </w:p>
        </w:tc>
        <w:tc>
          <w:tcPr>
            <w:tcW w:w="4914" w:type="dxa"/>
          </w:tcPr>
          <w:p w:rsidR="00CA67E6" w:rsidRDefault="003E6E04" w:rsidP="00660A7E">
            <w:pPr>
              <w:rPr>
                <w:rFonts w:ascii="Arial" w:hAnsi="Arial" w:cs="Arial"/>
                <w:color w:val="000000"/>
                <w:sz w:val="16"/>
                <w:szCs w:val="16"/>
              </w:rPr>
            </w:pPr>
            <w:hyperlink r:id="rId34" w:history="1">
              <w:r w:rsidR="00CA67E6" w:rsidRPr="000C2319">
                <w:rPr>
                  <w:rStyle w:val="Hyperlink"/>
                  <w:rFonts w:ascii="Arial" w:hAnsi="Arial" w:cs="Arial"/>
                  <w:b/>
                  <w:sz w:val="20"/>
                  <w:szCs w:val="20"/>
                </w:rPr>
                <w:t>Regression Artifact:</w:t>
              </w:r>
            </w:hyperlink>
            <w:r w:rsidR="00CA67E6" w:rsidRPr="002D363B">
              <w:rPr>
                <w:rFonts w:ascii="Arial" w:hAnsi="Arial" w:cs="Arial"/>
                <w:b/>
                <w:color w:val="000000"/>
                <w:sz w:val="20"/>
                <w:szCs w:val="20"/>
              </w:rPr>
              <w:br/>
            </w:r>
            <w:r w:rsidR="00CA67E6">
              <w:rPr>
                <w:rFonts w:ascii="Arial" w:hAnsi="Arial" w:cs="Arial"/>
                <w:color w:val="000000"/>
                <w:sz w:val="16"/>
                <w:szCs w:val="16"/>
              </w:rPr>
              <w:t xml:space="preserve"> </w:t>
            </w:r>
            <w:r w:rsidR="00CA67E6" w:rsidRPr="00102BC8">
              <w:rPr>
                <w:rFonts w:ascii="Arial" w:hAnsi="Arial" w:cs="Arial"/>
                <w:color w:val="000000"/>
                <w:sz w:val="16"/>
                <w:szCs w:val="16"/>
              </w:rPr>
              <w:t>Senate Oil Price Speculation Bill and Crude Oil Prices*</w:t>
            </w:r>
          </w:p>
          <w:p w:rsidR="00CA67E6" w:rsidRDefault="00CA67E6" w:rsidP="00660A7E">
            <w:pPr>
              <w:jc w:val="center"/>
            </w:pPr>
            <w:r w:rsidRPr="00C72CFE">
              <w:rPr>
                <w:rFonts w:ascii="Arial" w:hAnsi="Arial" w:cs="Arial"/>
                <w:noProof/>
                <w:color w:val="000000"/>
                <w:sz w:val="16"/>
                <w:szCs w:val="16"/>
              </w:rPr>
              <w:drawing>
                <wp:inline distT="0" distB="0" distL="0" distR="0">
                  <wp:extent cx="2171700" cy="1504950"/>
                  <wp:effectExtent l="1905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171700" cy="1504950"/>
                          </a:xfrm>
                          <a:prstGeom prst="rect">
                            <a:avLst/>
                          </a:prstGeom>
                          <a:noFill/>
                          <a:ln w="9525">
                            <a:noFill/>
                            <a:miter lim="800000"/>
                            <a:headEnd/>
                            <a:tailEnd/>
                          </a:ln>
                        </pic:spPr>
                      </pic:pic>
                    </a:graphicData>
                  </a:graphic>
                </wp:inline>
              </w:drawing>
            </w:r>
          </w:p>
        </w:tc>
      </w:tr>
      <w:tr w:rsidR="00CA67E6" w:rsidTr="001617C9">
        <w:tc>
          <w:tcPr>
            <w:tcW w:w="4806" w:type="dxa"/>
          </w:tcPr>
          <w:p w:rsidR="00CA67E6" w:rsidRDefault="003E6E04" w:rsidP="00660A7E">
            <w:hyperlink r:id="rId36" w:history="1">
              <w:r w:rsidR="00CA67E6" w:rsidRPr="000C2319">
                <w:rPr>
                  <w:rStyle w:val="Hyperlink"/>
                  <w:rFonts w:ascii="Arial" w:hAnsi="Arial" w:cs="Arial"/>
                  <w:b/>
                  <w:sz w:val="20"/>
                  <w:szCs w:val="20"/>
                </w:rPr>
                <w:t>Measurement Reliability:</w:t>
              </w:r>
            </w:hyperlink>
            <w:r w:rsidR="00CA67E6">
              <w:rPr>
                <w:rFonts w:ascii="Arial" w:hAnsi="Arial" w:cs="Arial"/>
                <w:b/>
                <w:color w:val="000000"/>
                <w:sz w:val="16"/>
                <w:szCs w:val="16"/>
              </w:rPr>
              <w:br/>
            </w:r>
            <w:r w:rsidR="00CA67E6">
              <w:rPr>
                <w:rFonts w:ascii="Arial" w:hAnsi="Arial" w:cs="Arial"/>
                <w:color w:val="000000"/>
                <w:sz w:val="16"/>
                <w:szCs w:val="16"/>
              </w:rPr>
              <w:t xml:space="preserve"> </w:t>
            </w:r>
            <w:r w:rsidR="00CA67E6" w:rsidRPr="004A2998">
              <w:rPr>
                <w:rFonts w:ascii="Arial" w:hAnsi="Arial" w:cs="Arial"/>
                <w:color w:val="000000"/>
                <w:sz w:val="16"/>
                <w:szCs w:val="16"/>
              </w:rPr>
              <w:t>Two Measures of Violent Crime</w:t>
            </w:r>
            <w:r w:rsidR="00CA67E6">
              <w:rPr>
                <w:rFonts w:ascii="Arial" w:hAnsi="Arial" w:cs="Arial"/>
                <w:color w:val="000000"/>
                <w:sz w:val="16"/>
                <w:szCs w:val="16"/>
              </w:rPr>
              <w:t xml:space="preserve">  </w:t>
            </w:r>
            <w:r w:rsidR="00CA67E6" w:rsidRPr="004A2998">
              <w:rPr>
                <w:rFonts w:ascii="Arial" w:hAnsi="Arial" w:cs="Arial"/>
                <w:color w:val="000000"/>
                <w:sz w:val="16"/>
                <w:szCs w:val="16"/>
              </w:rPr>
              <w:t xml:space="preserve">(per 1,000 population) </w:t>
            </w:r>
            <w:r w:rsidR="00CA67E6">
              <w:rPr>
                <w:rFonts w:ascii="Arial" w:hAnsi="Arial" w:cs="Arial"/>
                <w:color w:val="000000"/>
                <w:sz w:val="16"/>
                <w:szCs w:val="16"/>
              </w:rPr>
              <w:br/>
            </w:r>
            <w:r w:rsidR="00CA67E6">
              <w:rPr>
                <w:rFonts w:ascii="Arial" w:hAnsi="Arial" w:cs="Arial"/>
                <w:color w:val="000000"/>
                <w:sz w:val="16"/>
                <w:szCs w:val="16"/>
              </w:rPr>
              <w:br/>
              <w:t xml:space="preserve">         </w:t>
            </w:r>
            <w:r w:rsidR="00CA67E6" w:rsidRPr="00C72CFE">
              <w:rPr>
                <w:noProof/>
              </w:rPr>
              <w:drawing>
                <wp:inline distT="0" distB="0" distL="0" distR="0">
                  <wp:extent cx="2327738" cy="1500525"/>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327738" cy="1500525"/>
                          </a:xfrm>
                          <a:prstGeom prst="rect">
                            <a:avLst/>
                          </a:prstGeom>
                          <a:noFill/>
                          <a:ln w="9525">
                            <a:noFill/>
                            <a:miter lim="800000"/>
                            <a:headEnd/>
                            <a:tailEnd/>
                          </a:ln>
                        </pic:spPr>
                      </pic:pic>
                    </a:graphicData>
                  </a:graphic>
                </wp:inline>
              </w:drawing>
            </w:r>
          </w:p>
        </w:tc>
        <w:tc>
          <w:tcPr>
            <w:tcW w:w="4914" w:type="dxa"/>
          </w:tcPr>
          <w:p w:rsidR="00CA67E6" w:rsidRDefault="00CA67E6" w:rsidP="00660A7E">
            <w:pPr>
              <w:rPr>
                <w:rFonts w:ascii="Arial" w:hAnsi="Arial" w:cs="Arial"/>
                <w:color w:val="000000"/>
                <w:sz w:val="16"/>
                <w:szCs w:val="16"/>
              </w:rPr>
            </w:pPr>
            <w:r w:rsidRPr="002D363B">
              <w:rPr>
                <w:rFonts w:ascii="Arial" w:hAnsi="Arial" w:cs="Arial"/>
                <w:b/>
                <w:color w:val="000000"/>
                <w:sz w:val="20"/>
                <w:szCs w:val="20"/>
              </w:rPr>
              <w:t xml:space="preserve">Population Mortality: </w:t>
            </w:r>
            <w:r w:rsidRPr="002D363B">
              <w:rPr>
                <w:rFonts w:ascii="Arial" w:hAnsi="Arial" w:cs="Arial"/>
                <w:b/>
                <w:color w:val="000000"/>
                <w:sz w:val="20"/>
                <w:szCs w:val="20"/>
              </w:rPr>
              <w:br/>
            </w:r>
            <w:r w:rsidRPr="003B7071">
              <w:rPr>
                <w:rFonts w:ascii="Arial" w:hAnsi="Arial" w:cs="Arial"/>
                <w:color w:val="000000"/>
                <w:sz w:val="16"/>
                <w:szCs w:val="16"/>
              </w:rPr>
              <w:t>Enrollment and First International Science Study Results, Final Year of Secondary School</w:t>
            </w:r>
          </w:p>
          <w:p w:rsidR="00CA67E6" w:rsidRDefault="00CA67E6" w:rsidP="00021CEF">
            <w:pPr>
              <w:jc w:val="center"/>
            </w:pPr>
            <w:r w:rsidRPr="00C72CFE">
              <w:rPr>
                <w:noProof/>
              </w:rPr>
              <w:drawing>
                <wp:inline distT="0" distB="0" distL="0" distR="0">
                  <wp:extent cx="2171700" cy="1695450"/>
                  <wp:effectExtent l="19050" t="0" r="0"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171700" cy="1695450"/>
                          </a:xfrm>
                          <a:prstGeom prst="rect">
                            <a:avLst/>
                          </a:prstGeom>
                          <a:noFill/>
                          <a:ln w="9525">
                            <a:noFill/>
                            <a:miter lim="800000"/>
                            <a:headEnd/>
                            <a:tailEnd/>
                          </a:ln>
                        </pic:spPr>
                      </pic:pic>
                    </a:graphicData>
                  </a:graphic>
                </wp:inline>
              </w:drawing>
            </w:r>
          </w:p>
        </w:tc>
      </w:tr>
    </w:tbl>
    <w:p w:rsidR="001617C9" w:rsidRDefault="001617C9">
      <w:r>
        <w:br w:type="page"/>
      </w:r>
    </w:p>
    <w:tbl>
      <w:tblPr>
        <w:tblStyle w:val="TableGrid"/>
        <w:tblW w:w="9768" w:type="dxa"/>
        <w:tblInd w:w="738" w:type="dxa"/>
        <w:tblLook w:val="04A0"/>
      </w:tblPr>
      <w:tblGrid>
        <w:gridCol w:w="4806"/>
        <w:gridCol w:w="144"/>
        <w:gridCol w:w="4818"/>
      </w:tblGrid>
      <w:tr w:rsidR="00CA67E6" w:rsidTr="001617C9">
        <w:tc>
          <w:tcPr>
            <w:tcW w:w="4806" w:type="dxa"/>
          </w:tcPr>
          <w:p w:rsidR="00CA67E6" w:rsidRDefault="003E6E04" w:rsidP="00660A7E">
            <w:hyperlink r:id="rId39" w:history="1">
              <w:r w:rsidR="00CA67E6" w:rsidRPr="000C2319">
                <w:rPr>
                  <w:rStyle w:val="Hyperlink"/>
                  <w:rFonts w:ascii="Arial" w:hAnsi="Arial" w:cs="Arial"/>
                  <w:b/>
                  <w:sz w:val="20"/>
                  <w:szCs w:val="20"/>
                </w:rPr>
                <w:t>Reserve Causation:</w:t>
              </w:r>
              <w:r w:rsidR="00CA67E6" w:rsidRPr="000C2319">
                <w:rPr>
                  <w:rStyle w:val="Hyperlink"/>
                  <w:rFonts w:ascii="Arial" w:hAnsi="Arial" w:cs="Arial"/>
                  <w:sz w:val="16"/>
                  <w:szCs w:val="16"/>
                </w:rPr>
                <w:t xml:space="preserve"> </w:t>
              </w:r>
            </w:hyperlink>
            <w:r w:rsidR="00CA67E6" w:rsidRPr="00B659DF">
              <w:rPr>
                <w:rFonts w:ascii="Arial" w:hAnsi="Arial" w:cs="Arial"/>
                <w:color w:val="000000"/>
                <w:sz w:val="16"/>
                <w:szCs w:val="16"/>
              </w:rPr>
              <w:t xml:space="preserve"> </w:t>
            </w:r>
            <w:r w:rsidR="00CA67E6">
              <w:rPr>
                <w:rFonts w:ascii="Arial" w:hAnsi="Arial" w:cs="Arial"/>
                <w:color w:val="000000"/>
                <w:sz w:val="16"/>
                <w:szCs w:val="16"/>
              </w:rPr>
              <w:br/>
            </w:r>
            <w:r w:rsidR="00CA67E6" w:rsidRPr="00B659DF">
              <w:rPr>
                <w:rFonts w:ascii="Arial" w:hAnsi="Arial" w:cs="Arial"/>
                <w:color w:val="000000"/>
                <w:sz w:val="16"/>
                <w:szCs w:val="16"/>
              </w:rPr>
              <w:t>Prosecution Rate</w:t>
            </w:r>
            <w:r w:rsidR="00CA67E6">
              <w:rPr>
                <w:rFonts w:ascii="Arial" w:hAnsi="Arial" w:cs="Arial"/>
                <w:color w:val="000000"/>
                <w:sz w:val="16"/>
                <w:szCs w:val="16"/>
              </w:rPr>
              <w:t xml:space="preserve"> of Public Officials and Voter Turnout, 1980-‘04 </w:t>
            </w:r>
            <w:r w:rsidR="00CA67E6" w:rsidRPr="00C72CFE">
              <w:rPr>
                <w:noProof/>
              </w:rPr>
              <w:drawing>
                <wp:inline distT="0" distB="0" distL="0" distR="0">
                  <wp:extent cx="2423925" cy="1866038"/>
                  <wp:effectExtent l="1905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423925" cy="1866038"/>
                          </a:xfrm>
                          <a:prstGeom prst="rect">
                            <a:avLst/>
                          </a:prstGeom>
                          <a:noFill/>
                          <a:ln w="9525">
                            <a:noFill/>
                            <a:miter lim="800000"/>
                            <a:headEnd/>
                            <a:tailEnd/>
                          </a:ln>
                        </pic:spPr>
                      </pic:pic>
                    </a:graphicData>
                  </a:graphic>
                </wp:inline>
              </w:drawing>
            </w:r>
          </w:p>
        </w:tc>
        <w:tc>
          <w:tcPr>
            <w:tcW w:w="4962" w:type="dxa"/>
            <w:gridSpan w:val="2"/>
          </w:tcPr>
          <w:p w:rsidR="00CA67E6" w:rsidRDefault="003E6E04" w:rsidP="00660A7E">
            <w:hyperlink r:id="rId41" w:history="1">
              <w:r w:rsidR="00CA67E6" w:rsidRPr="000C2319">
                <w:rPr>
                  <w:rStyle w:val="Hyperlink"/>
                  <w:rFonts w:ascii="Arial" w:hAnsi="Arial" w:cs="Arial"/>
                  <w:b/>
                  <w:sz w:val="20"/>
                  <w:szCs w:val="20"/>
                </w:rPr>
                <w:t>Reserve Causation:</w:t>
              </w:r>
              <w:r w:rsidR="00CA67E6" w:rsidRPr="000C2319">
                <w:rPr>
                  <w:rStyle w:val="Hyperlink"/>
                  <w:rFonts w:ascii="Arial" w:hAnsi="Arial" w:cs="Arial"/>
                  <w:sz w:val="16"/>
                  <w:szCs w:val="16"/>
                </w:rPr>
                <w:t xml:space="preserve"> </w:t>
              </w:r>
            </w:hyperlink>
            <w:r w:rsidR="00CA67E6" w:rsidRPr="00B659DF">
              <w:rPr>
                <w:rFonts w:ascii="Arial" w:hAnsi="Arial" w:cs="Arial"/>
                <w:color w:val="000000"/>
                <w:sz w:val="16"/>
                <w:szCs w:val="16"/>
              </w:rPr>
              <w:t xml:space="preserve"> </w:t>
            </w:r>
            <w:r w:rsidR="00CA67E6">
              <w:rPr>
                <w:rFonts w:ascii="Arial" w:hAnsi="Arial" w:cs="Arial"/>
                <w:color w:val="000000"/>
                <w:sz w:val="16"/>
                <w:szCs w:val="16"/>
              </w:rPr>
              <w:br/>
              <w:t>Felony Arrest Ratio and Violent Crime Rate, 2008.  New York Counties (excl. NYC)</w:t>
            </w:r>
          </w:p>
          <w:p w:rsidR="00CA67E6" w:rsidRDefault="00CA67E6" w:rsidP="00660A7E">
            <w:r w:rsidRPr="00C72CFE">
              <w:rPr>
                <w:noProof/>
              </w:rPr>
              <w:drawing>
                <wp:inline distT="0" distB="0" distL="0" distR="0">
                  <wp:extent cx="2459461" cy="1898368"/>
                  <wp:effectExtent l="1905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459461" cy="1898368"/>
                          </a:xfrm>
                          <a:prstGeom prst="rect">
                            <a:avLst/>
                          </a:prstGeom>
                          <a:noFill/>
                          <a:ln w="9525">
                            <a:noFill/>
                            <a:miter lim="800000"/>
                            <a:headEnd/>
                            <a:tailEnd/>
                          </a:ln>
                        </pic:spPr>
                      </pic:pic>
                    </a:graphicData>
                  </a:graphic>
                </wp:inline>
              </w:drawing>
            </w:r>
          </w:p>
        </w:tc>
      </w:tr>
      <w:tr w:rsidR="00CA67E6" w:rsidTr="001617C9">
        <w:tc>
          <w:tcPr>
            <w:tcW w:w="4950" w:type="dxa"/>
            <w:gridSpan w:val="2"/>
          </w:tcPr>
          <w:p w:rsidR="00CA67E6" w:rsidRDefault="003E6E04" w:rsidP="00660A7E">
            <w:hyperlink r:id="rId43" w:history="1">
              <w:r w:rsidR="00CA67E6" w:rsidRPr="000C2319">
                <w:rPr>
                  <w:rStyle w:val="Hyperlink"/>
                  <w:rFonts w:ascii="Arial" w:hAnsi="Arial" w:cs="Arial"/>
                  <w:b/>
                  <w:sz w:val="20"/>
                  <w:szCs w:val="20"/>
                </w:rPr>
                <w:t>The Trend is not your Friend:</w:t>
              </w:r>
            </w:hyperlink>
            <w:r w:rsidR="00CA67E6" w:rsidRPr="00A83771">
              <w:rPr>
                <w:rFonts w:ascii="Arial" w:hAnsi="Arial" w:cs="Arial"/>
                <w:b/>
                <w:color w:val="000000"/>
                <w:sz w:val="16"/>
                <w:szCs w:val="16"/>
              </w:rPr>
              <w:t xml:space="preserve"> </w:t>
            </w:r>
            <w:r w:rsidR="00CA67E6">
              <w:rPr>
                <w:rFonts w:ascii="Arial" w:hAnsi="Arial" w:cs="Arial"/>
                <w:color w:val="000000"/>
                <w:sz w:val="16"/>
                <w:szCs w:val="16"/>
              </w:rPr>
              <w:br/>
            </w:r>
            <w:r w:rsidR="00CA67E6" w:rsidRPr="00A83771">
              <w:rPr>
                <w:rFonts w:ascii="Arial" w:hAnsi="Arial" w:cs="Arial"/>
                <w:color w:val="000000"/>
                <w:sz w:val="16"/>
                <w:szCs w:val="16"/>
              </w:rPr>
              <w:t>Average Contract Price of New</w:t>
            </w:r>
            <w:r w:rsidR="00CA67E6">
              <w:rPr>
                <w:rFonts w:ascii="Arial" w:hAnsi="Arial" w:cs="Arial"/>
                <w:color w:val="000000"/>
                <w:sz w:val="16"/>
                <w:szCs w:val="16"/>
              </w:rPr>
              <w:t xml:space="preserve"> One-Family Houses </w:t>
            </w:r>
            <w:r w:rsidR="00CA67E6">
              <w:rPr>
                <w:rFonts w:ascii="Arial" w:hAnsi="Arial" w:cs="Arial"/>
                <w:color w:val="000000"/>
                <w:sz w:val="16"/>
                <w:szCs w:val="16"/>
              </w:rPr>
              <w:br/>
              <w:t>(2000 d</w:t>
            </w:r>
            <w:r w:rsidR="00CA67E6" w:rsidRPr="00A83771">
              <w:rPr>
                <w:rFonts w:ascii="Arial" w:hAnsi="Arial" w:cs="Arial"/>
                <w:color w:val="000000"/>
                <w:sz w:val="16"/>
                <w:szCs w:val="16"/>
              </w:rPr>
              <w:t xml:space="preserve">ollars) </w:t>
            </w:r>
            <w:r w:rsidR="00CA67E6" w:rsidRPr="00C72CFE">
              <w:rPr>
                <w:noProof/>
              </w:rPr>
              <w:drawing>
                <wp:inline distT="0" distB="0" distL="0" distR="0">
                  <wp:extent cx="2423925" cy="1683282"/>
                  <wp:effectExtent l="19050" t="0" r="0" b="0"/>
                  <wp:docPr id="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2423925" cy="1683282"/>
                          </a:xfrm>
                          <a:prstGeom prst="rect">
                            <a:avLst/>
                          </a:prstGeom>
                          <a:noFill/>
                          <a:ln w="9525">
                            <a:noFill/>
                            <a:miter lim="800000"/>
                            <a:headEnd/>
                            <a:tailEnd/>
                          </a:ln>
                        </pic:spPr>
                      </pic:pic>
                    </a:graphicData>
                  </a:graphic>
                </wp:inline>
              </w:drawing>
            </w:r>
          </w:p>
        </w:tc>
        <w:tc>
          <w:tcPr>
            <w:tcW w:w="4818" w:type="dxa"/>
          </w:tcPr>
          <w:p w:rsidR="00CA67E6" w:rsidRDefault="00CA67E6" w:rsidP="00660A7E">
            <w:r w:rsidRPr="002D363B">
              <w:rPr>
                <w:rFonts w:ascii="Arial" w:hAnsi="Arial" w:cs="Arial"/>
                <w:b/>
                <w:color w:val="000000"/>
                <w:sz w:val="20"/>
                <w:szCs w:val="20"/>
              </w:rPr>
              <w:t>Graphical Distortion</w:t>
            </w:r>
            <w:r w:rsidRPr="003D15BA">
              <w:rPr>
                <w:rFonts w:ascii="Arial" w:hAnsi="Arial" w:cs="Arial"/>
                <w:color w:val="000000"/>
                <w:sz w:val="16"/>
                <w:szCs w:val="16"/>
              </w:rPr>
              <w:t xml:space="preserve">:  </w:t>
            </w:r>
            <w:r>
              <w:rPr>
                <w:rFonts w:ascii="Arial" w:hAnsi="Arial" w:cs="Arial"/>
                <w:color w:val="000000"/>
                <w:sz w:val="16"/>
                <w:szCs w:val="16"/>
              </w:rPr>
              <w:br/>
            </w:r>
            <w:r w:rsidRPr="003D15BA">
              <w:rPr>
                <w:rFonts w:ascii="Arial" w:hAnsi="Arial" w:cs="Arial"/>
                <w:color w:val="000000"/>
                <w:sz w:val="16"/>
                <w:szCs w:val="16"/>
              </w:rPr>
              <w:t>Average Tuition and Fees:</w:t>
            </w:r>
            <w:r>
              <w:rPr>
                <w:rFonts w:ascii="Arial" w:hAnsi="Arial" w:cs="Arial"/>
                <w:color w:val="000000"/>
                <w:sz w:val="16"/>
                <w:szCs w:val="16"/>
              </w:rPr>
              <w:t xml:space="preserve"> </w:t>
            </w:r>
            <w:r w:rsidRPr="003D15BA">
              <w:rPr>
                <w:rFonts w:ascii="Arial" w:hAnsi="Arial" w:cs="Arial"/>
                <w:color w:val="000000"/>
                <w:sz w:val="16"/>
                <w:szCs w:val="16"/>
              </w:rPr>
              <w:t xml:space="preserve">4-year Public and Private </w:t>
            </w:r>
            <w:r>
              <w:rPr>
                <w:rFonts w:ascii="Arial" w:hAnsi="Arial" w:cs="Arial"/>
                <w:color w:val="000000"/>
                <w:sz w:val="16"/>
                <w:szCs w:val="16"/>
              </w:rPr>
              <w:t>U</w:t>
            </w:r>
            <w:r w:rsidRPr="003D15BA">
              <w:rPr>
                <w:rFonts w:ascii="Arial" w:hAnsi="Arial" w:cs="Arial"/>
                <w:color w:val="000000"/>
                <w:sz w:val="16"/>
                <w:szCs w:val="16"/>
              </w:rPr>
              <w:t>niversities</w:t>
            </w:r>
            <w:r>
              <w:rPr>
                <w:rFonts w:ascii="Arial" w:hAnsi="Arial" w:cs="Arial"/>
                <w:color w:val="000000"/>
                <w:sz w:val="16"/>
                <w:szCs w:val="16"/>
              </w:rPr>
              <w:br/>
            </w:r>
            <w:r w:rsidRPr="00C72CFE">
              <w:rPr>
                <w:rFonts w:ascii="Arial" w:hAnsi="Arial" w:cs="Arial"/>
                <w:noProof/>
                <w:color w:val="000000"/>
                <w:sz w:val="16"/>
                <w:szCs w:val="16"/>
              </w:rPr>
              <w:drawing>
                <wp:inline distT="0" distB="0" distL="0" distR="0">
                  <wp:extent cx="2423925" cy="1683282"/>
                  <wp:effectExtent l="19050" t="0" r="0" b="0"/>
                  <wp:docPr id="80" name="Picture 1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2423925" cy="1683282"/>
                          </a:xfrm>
                          <a:prstGeom prst="rect">
                            <a:avLst/>
                          </a:prstGeom>
                          <a:noFill/>
                          <a:ln w="9525">
                            <a:noFill/>
                            <a:miter lim="800000"/>
                            <a:headEnd/>
                            <a:tailEnd/>
                          </a:ln>
                        </pic:spPr>
                      </pic:pic>
                    </a:graphicData>
                  </a:graphic>
                </wp:inline>
              </w:drawing>
            </w:r>
          </w:p>
        </w:tc>
      </w:tr>
      <w:tr w:rsidR="00CA67E6" w:rsidTr="001617C9">
        <w:tc>
          <w:tcPr>
            <w:tcW w:w="4950" w:type="dxa"/>
            <w:gridSpan w:val="2"/>
          </w:tcPr>
          <w:p w:rsidR="00CA67E6" w:rsidRDefault="003E6E04" w:rsidP="00660A7E">
            <w:pPr>
              <w:rPr>
                <w:rFonts w:ascii="Arial" w:hAnsi="Arial" w:cs="Arial"/>
                <w:b/>
                <w:color w:val="000000"/>
                <w:sz w:val="16"/>
                <w:szCs w:val="16"/>
              </w:rPr>
            </w:pPr>
            <w:hyperlink r:id="rId47" w:history="1">
              <w:r w:rsidR="00CA67E6" w:rsidRPr="000C2319">
                <w:rPr>
                  <w:rStyle w:val="Hyperlink"/>
                  <w:rFonts w:ascii="Arial" w:hAnsi="Arial" w:cs="Arial"/>
                  <w:b/>
                  <w:sz w:val="20"/>
                  <w:szCs w:val="20"/>
                </w:rPr>
                <w:t>Dominant Denominator</w:t>
              </w:r>
            </w:hyperlink>
            <w:r w:rsidR="00CA67E6" w:rsidRPr="00910038">
              <w:rPr>
                <w:rFonts w:ascii="Arial" w:hAnsi="Arial" w:cs="Arial"/>
                <w:b/>
                <w:color w:val="000000"/>
                <w:sz w:val="16"/>
                <w:szCs w:val="16"/>
              </w:rPr>
              <w:t>:</w:t>
            </w:r>
          </w:p>
          <w:p w:rsidR="00CA67E6" w:rsidRPr="004446FD" w:rsidRDefault="00CA67E6" w:rsidP="00660A7E">
            <w:pPr>
              <w:rPr>
                <w:rFonts w:ascii="Arial" w:hAnsi="Arial" w:cs="Arial"/>
                <w:color w:val="000000"/>
                <w:sz w:val="16"/>
                <w:szCs w:val="16"/>
              </w:rPr>
            </w:pPr>
            <w:r w:rsidRPr="004446FD">
              <w:rPr>
                <w:rFonts w:ascii="Arial" w:hAnsi="Arial" w:cs="Arial"/>
                <w:color w:val="000000"/>
                <w:sz w:val="16"/>
                <w:szCs w:val="16"/>
                <w:lang w:val="en-CA"/>
              </w:rPr>
              <w:t>“Bill Clinton and a GOP Congress balanced the budget by withdrawing a ‘peace dividend’ at a time when al Qaeda was declaring war” (2004).</w:t>
            </w:r>
            <w:r w:rsidRPr="004446FD">
              <w:rPr>
                <w:rFonts w:ascii="Arial" w:hAnsi="Arial" w:cs="Arial"/>
                <w:b/>
                <w:color w:val="000000"/>
                <w:sz w:val="16"/>
                <w:szCs w:val="16"/>
                <w:lang w:val="en-CA"/>
              </w:rPr>
              <w:t xml:space="preserve">   </w:t>
            </w:r>
            <w:r w:rsidRPr="004446FD">
              <w:rPr>
                <w:rFonts w:ascii="Arial" w:hAnsi="Arial" w:cs="Arial"/>
                <w:color w:val="000000"/>
                <w:sz w:val="16"/>
                <w:szCs w:val="16"/>
                <w:lang w:val="en-CA"/>
              </w:rPr>
              <w:t>--WSJ 8/9/04</w:t>
            </w:r>
            <w:r w:rsidRPr="004446FD">
              <w:rPr>
                <w:rFonts w:ascii="Arial" w:hAnsi="Arial" w:cs="Arial"/>
                <w:color w:val="000000"/>
                <w:sz w:val="16"/>
                <w:szCs w:val="16"/>
              </w:rPr>
              <w:t xml:space="preserve"> </w:t>
            </w:r>
            <w:r>
              <w:rPr>
                <w:rFonts w:ascii="Arial" w:hAnsi="Arial" w:cs="Arial"/>
                <w:color w:val="000000"/>
                <w:sz w:val="16"/>
                <w:szCs w:val="16"/>
              </w:rPr>
              <w:br/>
            </w:r>
          </w:p>
          <w:p w:rsidR="00CA67E6" w:rsidRDefault="00CA67E6" w:rsidP="00660A7E">
            <w:pPr>
              <w:jc w:val="center"/>
            </w:pPr>
            <w:r>
              <w:rPr>
                <w:rFonts w:ascii="Arial" w:hAnsi="Arial" w:cs="Arial"/>
                <w:color w:val="000000"/>
                <w:sz w:val="16"/>
                <w:szCs w:val="16"/>
              </w:rPr>
              <w:t>Clinton Defense budgets</w:t>
            </w:r>
            <w:r w:rsidRPr="004446FD">
              <w:t xml:space="preserve"> </w:t>
            </w:r>
            <w:r>
              <w:br/>
            </w:r>
            <w:r w:rsidRPr="004446FD">
              <w:rPr>
                <w:noProof/>
              </w:rPr>
              <w:drawing>
                <wp:inline distT="0" distB="0" distL="0" distR="0">
                  <wp:extent cx="2141438" cy="1625063"/>
                  <wp:effectExtent l="1905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141438" cy="1625063"/>
                          </a:xfrm>
                          <a:prstGeom prst="rect">
                            <a:avLst/>
                          </a:prstGeom>
                          <a:noFill/>
                          <a:ln w="9525">
                            <a:noFill/>
                            <a:miter lim="800000"/>
                            <a:headEnd/>
                            <a:tailEnd/>
                          </a:ln>
                        </pic:spPr>
                      </pic:pic>
                    </a:graphicData>
                  </a:graphic>
                </wp:inline>
              </w:drawing>
            </w:r>
          </w:p>
        </w:tc>
        <w:tc>
          <w:tcPr>
            <w:tcW w:w="4818" w:type="dxa"/>
          </w:tcPr>
          <w:p w:rsidR="00CA67E6" w:rsidRDefault="00CA67E6" w:rsidP="00660A7E">
            <w:r w:rsidRPr="002D363B">
              <w:rPr>
                <w:rFonts w:ascii="Arial" w:hAnsi="Arial" w:cs="Arial"/>
                <w:b/>
                <w:color w:val="000000"/>
                <w:sz w:val="20"/>
                <w:szCs w:val="20"/>
              </w:rPr>
              <w:t>Rate of Change Fallacy:</w:t>
            </w:r>
            <w:r>
              <w:rPr>
                <w:rFonts w:ascii="Arial" w:hAnsi="Arial" w:cs="Arial"/>
                <w:b/>
                <w:sz w:val="16"/>
                <w:szCs w:val="16"/>
              </w:rPr>
              <w:t xml:space="preserve"> </w:t>
            </w:r>
            <w:r>
              <w:rPr>
                <w:rFonts w:ascii="Arial" w:hAnsi="Arial" w:cs="Arial"/>
                <w:b/>
                <w:sz w:val="16"/>
                <w:szCs w:val="16"/>
              </w:rPr>
              <w:br/>
            </w:r>
            <w:r w:rsidRPr="004446FD">
              <w:rPr>
                <w:rFonts w:ascii="Arial" w:hAnsi="Arial" w:cs="Arial"/>
                <w:bCs/>
                <w:sz w:val="16"/>
                <w:szCs w:val="16"/>
              </w:rPr>
              <w:t xml:space="preserve">"Minorities in the U.S. increased their levels of homeownership at a faster clip than whites during the recent housing boom." </w:t>
            </w:r>
            <w:r w:rsidRPr="004446FD">
              <w:rPr>
                <w:rFonts w:ascii="Arial" w:hAnsi="Arial" w:cs="Arial"/>
                <w:b/>
                <w:bCs/>
                <w:sz w:val="16"/>
                <w:szCs w:val="16"/>
              </w:rPr>
              <w:br/>
            </w:r>
            <w:r>
              <w:rPr>
                <w:rFonts w:ascii="Arial" w:hAnsi="Arial" w:cs="Arial"/>
                <w:b/>
                <w:bCs/>
                <w:sz w:val="16"/>
                <w:szCs w:val="16"/>
              </w:rPr>
              <w:t xml:space="preserve">                                                </w:t>
            </w:r>
            <w:r w:rsidRPr="004446FD">
              <w:rPr>
                <w:rFonts w:ascii="Arial" w:hAnsi="Arial" w:cs="Arial"/>
                <w:b/>
                <w:bCs/>
                <w:sz w:val="16"/>
                <w:szCs w:val="16"/>
              </w:rPr>
              <w:t xml:space="preserve">  </w:t>
            </w:r>
            <w:r w:rsidRPr="004446FD">
              <w:rPr>
                <w:rFonts w:ascii="Arial" w:hAnsi="Arial" w:cs="Arial"/>
                <w:bCs/>
                <w:color w:val="000000" w:themeColor="text1"/>
                <w:sz w:val="16"/>
                <w:szCs w:val="16"/>
              </w:rPr>
              <w:t xml:space="preserve"> -</w:t>
            </w:r>
            <w:hyperlink r:id="rId49" w:history="1">
              <w:r w:rsidRPr="004446FD">
                <w:rPr>
                  <w:rStyle w:val="Hyperlink"/>
                  <w:rFonts w:ascii="Arial" w:hAnsi="Arial" w:cs="Arial"/>
                  <w:bCs/>
                  <w:color w:val="000000" w:themeColor="text1"/>
                  <w:sz w:val="16"/>
                  <w:szCs w:val="16"/>
                </w:rPr>
                <w:t>WSJ 5/13/09</w:t>
              </w:r>
            </w:hyperlink>
            <w:r>
              <w:br/>
            </w:r>
            <w:r>
              <w:rPr>
                <w:noProof/>
              </w:rPr>
              <w:drawing>
                <wp:inline distT="0" distB="0" distL="0" distR="0">
                  <wp:extent cx="2484120" cy="1821180"/>
                  <wp:effectExtent l="19050" t="0" r="0" b="0"/>
                  <wp:docPr id="5" name="Picture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2484120" cy="1821180"/>
                          </a:xfrm>
                          <a:prstGeom prst="rect">
                            <a:avLst/>
                          </a:prstGeom>
                          <a:noFill/>
                          <a:ln w="9525">
                            <a:noFill/>
                            <a:miter lim="800000"/>
                            <a:headEnd/>
                            <a:tailEnd/>
                          </a:ln>
                        </pic:spPr>
                      </pic:pic>
                    </a:graphicData>
                  </a:graphic>
                </wp:inline>
              </w:drawing>
            </w:r>
          </w:p>
        </w:tc>
      </w:tr>
      <w:tr w:rsidR="00CA67E6" w:rsidTr="001617C9">
        <w:trPr>
          <w:trHeight w:val="2636"/>
        </w:trPr>
        <w:tc>
          <w:tcPr>
            <w:tcW w:w="4950" w:type="dxa"/>
            <w:gridSpan w:val="2"/>
          </w:tcPr>
          <w:p w:rsidR="00CA67E6" w:rsidRPr="002D363B" w:rsidRDefault="00CA67E6" w:rsidP="00660A7E">
            <w:pPr>
              <w:rPr>
                <w:rFonts w:ascii="Arial" w:hAnsi="Arial" w:cs="Arial"/>
                <w:b/>
                <w:color w:val="000000"/>
                <w:sz w:val="20"/>
                <w:szCs w:val="20"/>
              </w:rPr>
            </w:pPr>
            <w:r w:rsidRPr="002D363B">
              <w:rPr>
                <w:rFonts w:ascii="Arial" w:hAnsi="Arial" w:cs="Arial"/>
                <w:b/>
                <w:color w:val="000000"/>
                <w:sz w:val="20"/>
                <w:szCs w:val="20"/>
              </w:rPr>
              <w:t>Rate of Change Fallacy:</w:t>
            </w:r>
          </w:p>
          <w:p w:rsidR="00CA67E6" w:rsidRDefault="00CA67E6" w:rsidP="00660A7E">
            <w:pPr>
              <w:jc w:val="center"/>
            </w:pPr>
            <w:r w:rsidRPr="00C72CFE">
              <w:rPr>
                <w:rFonts w:ascii="Arial" w:hAnsi="Arial" w:cs="Arial"/>
                <w:b/>
                <w:noProof/>
                <w:sz w:val="16"/>
                <w:szCs w:val="16"/>
              </w:rPr>
              <w:drawing>
                <wp:inline distT="0" distB="0" distL="0" distR="0">
                  <wp:extent cx="2134161" cy="1498655"/>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2134161" cy="1498655"/>
                          </a:xfrm>
                          <a:prstGeom prst="rect">
                            <a:avLst/>
                          </a:prstGeom>
                          <a:noFill/>
                          <a:ln w="9525">
                            <a:noFill/>
                            <a:miter lim="800000"/>
                            <a:headEnd/>
                            <a:tailEnd/>
                          </a:ln>
                        </pic:spPr>
                      </pic:pic>
                    </a:graphicData>
                  </a:graphic>
                </wp:inline>
              </w:drawing>
            </w:r>
          </w:p>
        </w:tc>
        <w:tc>
          <w:tcPr>
            <w:tcW w:w="4818" w:type="dxa"/>
            <w:tcMar>
              <w:left w:w="29" w:type="dxa"/>
              <w:right w:w="115" w:type="dxa"/>
            </w:tcMar>
          </w:tcPr>
          <w:p w:rsidR="00CA67E6" w:rsidRPr="002D363B" w:rsidRDefault="00CA67E6" w:rsidP="00660A7E">
            <w:pPr>
              <w:rPr>
                <w:rFonts w:ascii="Arial" w:hAnsi="Arial" w:cs="Arial"/>
                <w:b/>
                <w:color w:val="000000"/>
                <w:sz w:val="20"/>
                <w:szCs w:val="20"/>
              </w:rPr>
            </w:pPr>
            <w:r w:rsidRPr="004446FD">
              <w:rPr>
                <w:sz w:val="16"/>
                <w:szCs w:val="16"/>
              </w:rPr>
              <w:t xml:space="preserve">      </w:t>
            </w:r>
            <w:r w:rsidRPr="002D363B">
              <w:rPr>
                <w:rFonts w:ascii="Arial" w:hAnsi="Arial" w:cs="Arial"/>
                <w:b/>
                <w:color w:val="000000"/>
                <w:sz w:val="20"/>
                <w:szCs w:val="20"/>
              </w:rPr>
              <w:t>Counter Evidence:</w:t>
            </w:r>
          </w:p>
          <w:p w:rsidR="00CA67E6" w:rsidRDefault="00CA67E6" w:rsidP="00660A7E">
            <w:pPr>
              <w:jc w:val="center"/>
            </w:pPr>
            <w:r w:rsidRPr="00C72CFE">
              <w:rPr>
                <w:noProof/>
              </w:rPr>
              <w:drawing>
                <wp:inline distT="0" distB="0" distL="0" distR="0">
                  <wp:extent cx="2164219" cy="1519763"/>
                  <wp:effectExtent l="19050" t="0" r="7481"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2164219" cy="1519763"/>
                          </a:xfrm>
                          <a:prstGeom prst="rect">
                            <a:avLst/>
                          </a:prstGeom>
                          <a:noFill/>
                          <a:ln w="9525">
                            <a:noFill/>
                            <a:miter lim="800000"/>
                            <a:headEnd/>
                            <a:tailEnd/>
                          </a:ln>
                        </pic:spPr>
                      </pic:pic>
                    </a:graphicData>
                  </a:graphic>
                </wp:inline>
              </w:drawing>
            </w:r>
          </w:p>
        </w:tc>
      </w:tr>
    </w:tbl>
    <w:p w:rsidR="001617C9" w:rsidRDefault="001617C9">
      <w:r>
        <w:br w:type="page"/>
      </w:r>
    </w:p>
    <w:tbl>
      <w:tblPr>
        <w:tblStyle w:val="TableGrid"/>
        <w:tblW w:w="9768" w:type="dxa"/>
        <w:tblInd w:w="738" w:type="dxa"/>
        <w:tblLook w:val="04A0"/>
      </w:tblPr>
      <w:tblGrid>
        <w:gridCol w:w="5581"/>
        <w:gridCol w:w="4139"/>
        <w:gridCol w:w="48"/>
      </w:tblGrid>
      <w:tr w:rsidR="00994FDD" w:rsidTr="001617C9">
        <w:tc>
          <w:tcPr>
            <w:tcW w:w="9768" w:type="dxa"/>
            <w:gridSpan w:val="3"/>
          </w:tcPr>
          <w:p w:rsidR="001617C9" w:rsidRPr="000C2319" w:rsidRDefault="003E6E04" w:rsidP="00994FDD">
            <w:pPr>
              <w:jc w:val="center"/>
              <w:rPr>
                <w:rStyle w:val="Hyperlink"/>
                <w:sz w:val="16"/>
                <w:szCs w:val="16"/>
              </w:rPr>
            </w:pPr>
            <w:r>
              <w:rPr>
                <w:rFonts w:ascii="Arial" w:hAnsi="Arial" w:cs="Arial"/>
                <w:b/>
                <w:color w:val="000000"/>
                <w:sz w:val="20"/>
                <w:szCs w:val="20"/>
              </w:rPr>
              <w:lastRenderedPageBreak/>
              <w:fldChar w:fldCharType="begin"/>
            </w:r>
            <w:r w:rsidR="000C2319">
              <w:rPr>
                <w:rFonts w:ascii="Arial" w:hAnsi="Arial" w:cs="Arial"/>
                <w:b/>
                <w:color w:val="000000"/>
                <w:sz w:val="20"/>
                <w:szCs w:val="20"/>
              </w:rPr>
              <w:instrText xml:space="preserve"> HYPERLINK "excel/fallacies/figure%204.3%20four%20Measures%20of%20Voter%20Turnout.xlsx" </w:instrText>
            </w:r>
            <w:r>
              <w:rPr>
                <w:rFonts w:ascii="Arial" w:hAnsi="Arial" w:cs="Arial"/>
                <w:b/>
                <w:color w:val="000000"/>
                <w:sz w:val="20"/>
                <w:szCs w:val="20"/>
              </w:rPr>
              <w:fldChar w:fldCharType="separate"/>
            </w:r>
          </w:p>
          <w:p w:rsidR="001617C9" w:rsidRDefault="001617C9" w:rsidP="001617C9">
            <w:pPr>
              <w:rPr>
                <w:rFonts w:ascii="Arial" w:hAnsi="Arial" w:cs="Arial"/>
                <w:b/>
                <w:color w:val="000000"/>
                <w:sz w:val="20"/>
                <w:szCs w:val="20"/>
              </w:rPr>
            </w:pPr>
            <w:r w:rsidRPr="000C2319">
              <w:rPr>
                <w:rStyle w:val="Hyperlink"/>
                <w:rFonts w:ascii="Arial" w:hAnsi="Arial" w:cs="Arial"/>
                <w:b/>
                <w:sz w:val="20"/>
                <w:szCs w:val="20"/>
              </w:rPr>
              <w:t>Measurement Reliability\Hawthorne Effect and People who Lie to Pollsters.</w:t>
            </w:r>
            <w:r w:rsidR="003E6E04">
              <w:rPr>
                <w:rFonts w:ascii="Arial" w:hAnsi="Arial" w:cs="Arial"/>
                <w:b/>
                <w:color w:val="000000"/>
                <w:sz w:val="20"/>
                <w:szCs w:val="20"/>
              </w:rPr>
              <w:fldChar w:fldCharType="end"/>
            </w:r>
          </w:p>
          <w:p w:rsidR="00994FDD" w:rsidRPr="004446FD" w:rsidRDefault="00994FDD" w:rsidP="001617C9">
            <w:pPr>
              <w:jc w:val="center"/>
              <w:rPr>
                <w:sz w:val="16"/>
                <w:szCs w:val="16"/>
              </w:rPr>
            </w:pPr>
            <w:r w:rsidRPr="00994FDD">
              <w:rPr>
                <w:noProof/>
                <w:sz w:val="16"/>
                <w:szCs w:val="16"/>
              </w:rPr>
              <w:drawing>
                <wp:inline distT="0" distB="0" distL="0" distR="0">
                  <wp:extent cx="3875314" cy="2362200"/>
                  <wp:effectExtent l="0" t="0" r="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CA67E6" w:rsidTr="001617C9">
        <w:trPr>
          <w:gridAfter w:val="1"/>
          <w:wAfter w:w="48" w:type="dxa"/>
        </w:trPr>
        <w:tc>
          <w:tcPr>
            <w:tcW w:w="5581" w:type="dxa"/>
            <w:tcMar>
              <w:left w:w="216" w:type="dxa"/>
              <w:right w:w="115" w:type="dxa"/>
            </w:tcMar>
          </w:tcPr>
          <w:p w:rsidR="00CA67E6" w:rsidRPr="002D363B" w:rsidRDefault="001617C9" w:rsidP="00660A7E">
            <w:pPr>
              <w:rPr>
                <w:rFonts w:ascii="Arial" w:hAnsi="Arial" w:cs="Arial"/>
                <w:b/>
                <w:color w:val="000000"/>
                <w:sz w:val="20"/>
                <w:szCs w:val="20"/>
              </w:rPr>
            </w:pPr>
            <w:r>
              <w:rPr>
                <w:rFonts w:ascii="Arial" w:hAnsi="Arial" w:cs="Arial"/>
                <w:b/>
                <w:color w:val="000000"/>
                <w:sz w:val="20"/>
                <w:szCs w:val="20"/>
              </w:rPr>
              <w:br/>
            </w:r>
            <w:r w:rsidR="00CA67E6" w:rsidRPr="002D363B">
              <w:rPr>
                <w:rFonts w:ascii="Arial" w:hAnsi="Arial" w:cs="Arial"/>
                <w:b/>
                <w:color w:val="000000"/>
                <w:sz w:val="20"/>
                <w:szCs w:val="20"/>
              </w:rPr>
              <w:t>Graphical Distortion:</w:t>
            </w:r>
          </w:p>
          <w:p w:rsidR="00CA67E6" w:rsidRPr="0032680A" w:rsidRDefault="00CA67E6" w:rsidP="00660A7E">
            <w:pPr>
              <w:rPr>
                <w:rFonts w:ascii="Arial" w:hAnsi="Arial" w:cs="Arial"/>
                <w:sz w:val="16"/>
                <w:szCs w:val="16"/>
              </w:rPr>
            </w:pPr>
            <w:r>
              <w:rPr>
                <w:rStyle w:val="articlecopy"/>
                <w:rFonts w:ascii="Arial" w:hAnsi="Arial" w:cs="Arial"/>
                <w:sz w:val="16"/>
                <w:szCs w:val="16"/>
              </w:rPr>
              <w:t>“</w:t>
            </w:r>
            <w:r w:rsidRPr="0032680A">
              <w:rPr>
                <w:rStyle w:val="articlecopy"/>
                <w:rFonts w:ascii="Arial" w:hAnsi="Arial" w:cs="Arial"/>
                <w:sz w:val="16"/>
                <w:szCs w:val="16"/>
              </w:rPr>
              <w:t>Federal spending on K-12 education will top $41 billion in 2004. Add in state and local spending, and the figure rises to a record half-trillion dollars. That's double the amount spent in 1990 and a third more than the $375 billion the U.S. will spend on defense this year. The negligible impact of this ever-increasing cash infusion on reading scores is illustrated in this chart:</w:t>
            </w:r>
            <w:r>
              <w:rPr>
                <w:rStyle w:val="articlecopy"/>
                <w:rFonts w:ascii="Arial" w:hAnsi="Arial" w:cs="Arial"/>
                <w:sz w:val="16"/>
                <w:szCs w:val="16"/>
              </w:rPr>
              <w:t>”</w:t>
            </w:r>
          </w:p>
          <w:p w:rsidR="00CA67E6" w:rsidRDefault="00CA67E6" w:rsidP="00660A7E">
            <w:pPr>
              <w:rPr>
                <w:noProof/>
              </w:rPr>
            </w:pPr>
          </w:p>
          <w:p w:rsidR="00CA67E6" w:rsidRDefault="00CA67E6" w:rsidP="00660A7E">
            <w:r w:rsidRPr="00324713">
              <w:rPr>
                <w:noProof/>
              </w:rPr>
              <w:drawing>
                <wp:anchor distT="0" distB="0" distL="0" distR="0" simplePos="0" relativeHeight="251659264" behindDoc="0" locked="0" layoutInCell="1" allowOverlap="0">
                  <wp:simplePos x="0" y="0"/>
                  <wp:positionH relativeFrom="column">
                    <wp:posOffset>7620</wp:posOffset>
                  </wp:positionH>
                  <wp:positionV relativeFrom="line">
                    <wp:posOffset>1270</wp:posOffset>
                  </wp:positionV>
                  <wp:extent cx="3310890" cy="3005455"/>
                  <wp:effectExtent l="19050" t="0" r="3810" b="0"/>
                  <wp:wrapSquare wrapText="bothSides"/>
                  <wp:docPr id="12" name="Picture 2" descr="Y:\interpreting\interpreting_the_numbers_files\image029.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terpreting\interpreting_the_numbers_files\image029.gif"/>
                          <pic:cNvPicPr>
                            <a:picLocks noChangeAspect="1" noChangeArrowheads="1"/>
                          </pic:cNvPicPr>
                        </pic:nvPicPr>
                        <pic:blipFill>
                          <a:blip r:embed="rId56" cstate="print"/>
                          <a:srcRect/>
                          <a:stretch>
                            <a:fillRect/>
                          </a:stretch>
                        </pic:blipFill>
                        <pic:spPr bwMode="auto">
                          <a:xfrm>
                            <a:off x="0" y="0"/>
                            <a:ext cx="3310890" cy="3005455"/>
                          </a:xfrm>
                          <a:prstGeom prst="rect">
                            <a:avLst/>
                          </a:prstGeom>
                          <a:noFill/>
                          <a:ln w="9525">
                            <a:noFill/>
                            <a:miter lim="800000"/>
                            <a:headEnd/>
                            <a:tailEnd/>
                          </a:ln>
                        </pic:spPr>
                      </pic:pic>
                    </a:graphicData>
                  </a:graphic>
                </wp:anchor>
              </w:drawing>
            </w:r>
          </w:p>
          <w:p w:rsidR="00CA67E6" w:rsidRDefault="00CA67E6" w:rsidP="00660A7E"/>
          <w:p w:rsidR="00CA67E6" w:rsidRDefault="00CA67E6" w:rsidP="00660A7E"/>
          <w:p w:rsidR="00CA67E6" w:rsidRDefault="00CA67E6" w:rsidP="00660A7E"/>
        </w:tc>
        <w:tc>
          <w:tcPr>
            <w:tcW w:w="4139" w:type="dxa"/>
          </w:tcPr>
          <w:p w:rsidR="00CA67E6" w:rsidRPr="002D363B" w:rsidRDefault="001617C9" w:rsidP="00660A7E">
            <w:pPr>
              <w:rPr>
                <w:rFonts w:ascii="Arial" w:hAnsi="Arial" w:cs="Arial"/>
                <w:b/>
                <w:color w:val="000000"/>
                <w:sz w:val="20"/>
                <w:szCs w:val="20"/>
              </w:rPr>
            </w:pPr>
            <w:r>
              <w:rPr>
                <w:rFonts w:ascii="Arial" w:hAnsi="Arial" w:cs="Arial"/>
                <w:b/>
                <w:color w:val="000000"/>
                <w:sz w:val="20"/>
                <w:szCs w:val="20"/>
              </w:rPr>
              <w:br/>
            </w:r>
            <w:r w:rsidR="00CA67E6" w:rsidRPr="002D363B">
              <w:rPr>
                <w:rFonts w:ascii="Arial" w:hAnsi="Arial" w:cs="Arial"/>
                <w:b/>
                <w:color w:val="000000"/>
                <w:sz w:val="20"/>
                <w:szCs w:val="20"/>
              </w:rPr>
              <w:t>Counter Evidence:</w:t>
            </w:r>
          </w:p>
          <w:p w:rsidR="00CA67E6" w:rsidRDefault="00CA67E6" w:rsidP="00660A7E">
            <w:pPr>
              <w:rPr>
                <w:rFonts w:ascii="Arial" w:hAnsi="Arial" w:cs="Arial"/>
                <w:b/>
                <w:sz w:val="16"/>
                <w:szCs w:val="16"/>
              </w:rPr>
            </w:pPr>
          </w:p>
          <w:p w:rsidR="00CA67E6" w:rsidRDefault="00CA67E6" w:rsidP="00660A7E">
            <w:pPr>
              <w:jc w:val="center"/>
              <w:rPr>
                <w:rFonts w:ascii="Arial" w:hAnsi="Arial" w:cs="Arial"/>
                <w:b/>
                <w:sz w:val="16"/>
                <w:szCs w:val="16"/>
              </w:rPr>
            </w:pPr>
            <w:r w:rsidRPr="008C2119">
              <w:rPr>
                <w:rFonts w:ascii="Arial" w:hAnsi="Arial" w:cs="Arial"/>
                <w:b/>
                <w:noProof/>
                <w:sz w:val="16"/>
                <w:szCs w:val="16"/>
              </w:rPr>
              <w:drawing>
                <wp:inline distT="0" distB="0" distL="0" distR="0">
                  <wp:extent cx="2042160" cy="1371600"/>
                  <wp:effectExtent l="0" t="0" r="0"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A67E6" w:rsidRDefault="00CA67E6" w:rsidP="00660A7E">
            <w:pPr>
              <w:rPr>
                <w:rFonts w:ascii="Arial" w:hAnsi="Arial" w:cs="Arial"/>
                <w:b/>
                <w:sz w:val="16"/>
                <w:szCs w:val="16"/>
              </w:rPr>
            </w:pPr>
          </w:p>
          <w:p w:rsidR="00CA67E6" w:rsidRDefault="00CA67E6" w:rsidP="00660A7E">
            <w:pPr>
              <w:jc w:val="center"/>
            </w:pPr>
            <w:r w:rsidRPr="002D363B">
              <w:rPr>
                <w:noProof/>
              </w:rPr>
              <w:drawing>
                <wp:inline distT="0" distB="0" distL="0" distR="0">
                  <wp:extent cx="2400300" cy="1402080"/>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A67E6" w:rsidRPr="0032680A" w:rsidRDefault="00CA67E6" w:rsidP="00660A7E"/>
          <w:p w:rsidR="00CA67E6" w:rsidRPr="0032680A" w:rsidRDefault="00CA67E6" w:rsidP="00660A7E">
            <w:pPr>
              <w:jc w:val="center"/>
            </w:pPr>
            <w:r w:rsidRPr="0032680A">
              <w:rPr>
                <w:noProof/>
              </w:rPr>
              <w:drawing>
                <wp:inline distT="0" distB="0" distL="0" distR="0">
                  <wp:extent cx="2103120" cy="1371600"/>
                  <wp:effectExtent l="19050" t="0" r="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A67E6" w:rsidRDefault="00CA67E6" w:rsidP="00660A7E"/>
          <w:p w:rsidR="00CA67E6" w:rsidRPr="0032680A" w:rsidRDefault="00CA67E6" w:rsidP="00660A7E">
            <w:pPr>
              <w:jc w:val="center"/>
            </w:pPr>
          </w:p>
        </w:tc>
      </w:tr>
    </w:tbl>
    <w:p w:rsidR="00CA67E6" w:rsidRDefault="00CA67E6" w:rsidP="00CA67E6">
      <w:pPr>
        <w:rPr>
          <w:rStyle w:val="Hyperlink"/>
          <w:rFonts w:asciiTheme="minorHAnsi" w:hAnsiTheme="minorHAnsi" w:cs="Arial"/>
          <w:color w:val="000000" w:themeColor="text1"/>
          <w:sz w:val="20"/>
          <w:szCs w:val="20"/>
          <w:u w:val="none"/>
        </w:rPr>
      </w:pPr>
    </w:p>
    <w:p w:rsidR="00CA67E6" w:rsidRDefault="00CA67E6"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Default="007B7E0D" w:rsidP="008F0E25">
      <w:pPr>
        <w:rPr>
          <w:rFonts w:asciiTheme="minorHAnsi" w:hAnsiTheme="minorHAnsi" w:cs="Arial"/>
          <w:sz w:val="18"/>
          <w:szCs w:val="18"/>
        </w:rPr>
      </w:pPr>
    </w:p>
    <w:p w:rsidR="007B7E0D" w:rsidRPr="00812232" w:rsidRDefault="007B7E0D" w:rsidP="00790628">
      <w:pPr>
        <w:ind w:right="900"/>
        <w:rPr>
          <w:b/>
        </w:rPr>
      </w:pPr>
      <w:bookmarkStart w:id="0" w:name="_Toc181003447"/>
      <w:r w:rsidRPr="00812232">
        <w:rPr>
          <w:b/>
        </w:rPr>
        <w:t>Recommended Readings on Charting and Graphic Design:</w:t>
      </w:r>
      <w:bookmarkEnd w:id="0"/>
    </w:p>
    <w:p w:rsidR="007B7E0D" w:rsidRPr="001E683D" w:rsidRDefault="007B7E0D" w:rsidP="001617C9">
      <w:pPr>
        <w:spacing w:after="60"/>
        <w:ind w:right="900"/>
        <w:rPr>
          <w:rStyle w:val="Style11pt"/>
          <w:rFonts w:eastAsia="Calibri"/>
          <w:sz w:val="22"/>
        </w:rPr>
      </w:pPr>
      <w:r w:rsidRPr="001E683D">
        <w:rPr>
          <w:rFonts w:eastAsia="Calibri" w:cs="Times New Roman"/>
          <w:sz w:val="22"/>
        </w:rPr>
        <w:t xml:space="preserve">Cleveland, William S. </w:t>
      </w:r>
      <w:r w:rsidR="001617C9">
        <w:rPr>
          <w:rFonts w:eastAsia="Calibri" w:cs="Times New Roman"/>
          <w:sz w:val="22"/>
        </w:rPr>
        <w:t xml:space="preserve"> </w:t>
      </w:r>
      <w:r w:rsidRPr="001E683D">
        <w:rPr>
          <w:rFonts w:eastAsia="Calibri" w:cs="Times New Roman"/>
          <w:i/>
          <w:sz w:val="22"/>
        </w:rPr>
        <w:t>The Elements of Graphing Data</w:t>
      </w:r>
      <w:r w:rsidRPr="001E683D">
        <w:rPr>
          <w:rFonts w:eastAsia="Calibri" w:cs="Times New Roman"/>
          <w:sz w:val="22"/>
        </w:rPr>
        <w:t xml:space="preserve"> (NJ: Hobart Press, 1994)</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 xml:space="preserve">Few, Stephen.  </w:t>
      </w:r>
      <w:r w:rsidRPr="001E683D">
        <w:rPr>
          <w:rFonts w:eastAsia="Calibri" w:cs="Times New Roman"/>
          <w:sz w:val="22"/>
        </w:rPr>
        <w:t xml:space="preserve">Show </w:t>
      </w:r>
      <w:r w:rsidRPr="001E683D">
        <w:rPr>
          <w:rFonts w:eastAsia="Calibri" w:cs="Times New Roman"/>
          <w:i/>
          <w:sz w:val="22"/>
        </w:rPr>
        <w:t>Me the Number</w:t>
      </w:r>
      <w:r w:rsidR="001617C9">
        <w:rPr>
          <w:rFonts w:eastAsia="Calibri" w:cs="Times New Roman"/>
          <w:i/>
          <w:sz w:val="22"/>
        </w:rPr>
        <w:t xml:space="preserve"> </w:t>
      </w:r>
      <w:r w:rsidRPr="001E683D">
        <w:rPr>
          <w:rStyle w:val="Style11pt"/>
          <w:rFonts w:eastAsia="Calibri"/>
          <w:sz w:val="22"/>
        </w:rPr>
        <w:t xml:space="preserve"> (Analytics </w:t>
      </w:r>
      <w:r w:rsidR="001617C9">
        <w:rPr>
          <w:rStyle w:val="Style11pt"/>
          <w:rFonts w:eastAsia="Calibri"/>
          <w:sz w:val="22"/>
        </w:rPr>
        <w:t>P</w:t>
      </w:r>
      <w:r w:rsidRPr="001E683D">
        <w:rPr>
          <w:rStyle w:val="Style11pt"/>
          <w:rFonts w:eastAsia="Calibri"/>
          <w:sz w:val="22"/>
        </w:rPr>
        <w:t>ress, 2004).</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Jones, Gerald E</w:t>
      </w:r>
      <w:r w:rsidRPr="001E683D">
        <w:rPr>
          <w:rFonts w:eastAsia="Calibri" w:cs="Times New Roman"/>
          <w:i/>
          <w:sz w:val="22"/>
        </w:rPr>
        <w:t>. How to Lie With Charts</w:t>
      </w:r>
      <w:r w:rsidRPr="001E683D">
        <w:rPr>
          <w:rStyle w:val="Style11pt"/>
          <w:rFonts w:eastAsia="Calibri"/>
          <w:sz w:val="22"/>
        </w:rPr>
        <w:t xml:space="preserve"> (iUniverse.com, 2000).</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Kosslyn, Stephen M.</w:t>
      </w:r>
      <w:r w:rsidRPr="001E683D">
        <w:rPr>
          <w:rFonts w:eastAsia="Calibri" w:cs="Times New Roman"/>
          <w:i/>
          <w:sz w:val="22"/>
        </w:rPr>
        <w:t xml:space="preserve"> Elements of Graph Design</w:t>
      </w:r>
      <w:r w:rsidRPr="001E683D">
        <w:rPr>
          <w:rStyle w:val="Style11pt"/>
          <w:rFonts w:eastAsia="Calibri"/>
          <w:sz w:val="22"/>
        </w:rPr>
        <w:t xml:space="preserve"> (New York: W. H. Freeman, 1994).</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 xml:space="preserve">Miller, Jane E. </w:t>
      </w:r>
      <w:r>
        <w:rPr>
          <w:rStyle w:val="Style11pt"/>
          <w:sz w:val="22"/>
        </w:rPr>
        <w:t xml:space="preserve">“Creating Effective Tables”, </w:t>
      </w:r>
      <w:r w:rsidRPr="001E683D">
        <w:rPr>
          <w:rStyle w:val="Style11pt"/>
          <w:rFonts w:eastAsia="Calibri"/>
          <w:sz w:val="22"/>
        </w:rPr>
        <w:t xml:space="preserve">“Creating Effective Charts,” </w:t>
      </w:r>
      <w:r w:rsidRPr="001E683D">
        <w:rPr>
          <w:rFonts w:eastAsia="Calibri" w:cs="Times New Roman"/>
          <w:bCs/>
          <w:i/>
          <w:iCs/>
          <w:sz w:val="22"/>
        </w:rPr>
        <w:t xml:space="preserve">The Chicago Guide to Writing about Numbers,  </w:t>
      </w:r>
      <w:r w:rsidRPr="001E683D">
        <w:rPr>
          <w:rStyle w:val="Style11pt"/>
          <w:rFonts w:eastAsia="Calibri"/>
          <w:sz w:val="22"/>
        </w:rPr>
        <w:t>(University of Chicago Press, 2004). Chapter</w:t>
      </w:r>
      <w:r>
        <w:rPr>
          <w:rStyle w:val="Style11pt"/>
          <w:sz w:val="22"/>
        </w:rPr>
        <w:t>s 6&amp;</w:t>
      </w:r>
      <w:r w:rsidRPr="001E683D">
        <w:rPr>
          <w:rStyle w:val="Style11pt"/>
          <w:rFonts w:eastAsia="Calibri"/>
          <w:sz w:val="22"/>
        </w:rPr>
        <w:t xml:space="preserve"> 7.</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 xml:space="preserve">Tufte, Edward R. </w:t>
      </w:r>
      <w:r w:rsidRPr="001E683D">
        <w:rPr>
          <w:rFonts w:eastAsia="Calibri" w:cs="Times New Roman"/>
          <w:i/>
          <w:sz w:val="22"/>
        </w:rPr>
        <w:t>The Visual Display of Quantitative Information</w:t>
      </w:r>
      <w:r w:rsidRPr="001E683D">
        <w:rPr>
          <w:rStyle w:val="Style11pt"/>
          <w:rFonts w:eastAsia="Calibri"/>
          <w:sz w:val="22"/>
        </w:rPr>
        <w:t xml:space="preserve"> (Cheshire: Connecticut: Graphics Press, 1983).</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 xml:space="preserve">___________. </w:t>
      </w:r>
      <w:r w:rsidRPr="001E683D">
        <w:rPr>
          <w:rStyle w:val="Style11pt"/>
          <w:rFonts w:eastAsia="Calibri"/>
          <w:i/>
          <w:sz w:val="22"/>
        </w:rPr>
        <w:t>Visual Explanations—Images and Quantities, Evidence and Narrative (</w:t>
      </w:r>
      <w:r w:rsidRPr="001E683D">
        <w:rPr>
          <w:rStyle w:val="Style11pt"/>
          <w:rFonts w:eastAsia="Calibri"/>
          <w:sz w:val="22"/>
        </w:rPr>
        <w:t>Cheshire: Connecticut: Graphics Press, 1997).</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 xml:space="preserve">Wainer, Howard. </w:t>
      </w:r>
      <w:r w:rsidRPr="001E683D">
        <w:rPr>
          <w:rFonts w:eastAsia="Calibri" w:cs="Times New Roman"/>
          <w:sz w:val="22"/>
        </w:rPr>
        <w:t xml:space="preserve">Visual Revelations: </w:t>
      </w:r>
      <w:r w:rsidRPr="001E683D">
        <w:rPr>
          <w:rFonts w:eastAsia="Calibri" w:cs="Times New Roman"/>
          <w:i/>
          <w:sz w:val="22"/>
        </w:rPr>
        <w:t>Graphical Tales of Fate and Deception from Napoleon Bonaparte to Ross Perot</w:t>
      </w:r>
      <w:r w:rsidRPr="001E683D">
        <w:rPr>
          <w:rStyle w:val="Style11pt"/>
          <w:rFonts w:eastAsia="Calibri"/>
          <w:i/>
          <w:sz w:val="22"/>
        </w:rPr>
        <w:t>.</w:t>
      </w:r>
      <w:r w:rsidRPr="001E683D">
        <w:rPr>
          <w:rStyle w:val="Style11pt"/>
          <w:rFonts w:eastAsia="Calibri"/>
          <w:sz w:val="22"/>
        </w:rPr>
        <w:t xml:space="preserve"> (Mahwah, NJ: Lawrence Erlbaum Associates, 1997). </w:t>
      </w:r>
    </w:p>
    <w:p w:rsidR="007B7E0D" w:rsidRPr="001E683D" w:rsidRDefault="007B7E0D" w:rsidP="00790628">
      <w:pPr>
        <w:spacing w:after="60"/>
        <w:ind w:left="720" w:right="900" w:hanging="720"/>
        <w:rPr>
          <w:rStyle w:val="Style11pt"/>
          <w:rFonts w:eastAsia="Calibri"/>
          <w:sz w:val="22"/>
        </w:rPr>
      </w:pPr>
      <w:r w:rsidRPr="001E683D">
        <w:rPr>
          <w:rStyle w:val="Style11pt"/>
          <w:rFonts w:eastAsia="Calibri"/>
          <w:sz w:val="22"/>
        </w:rPr>
        <w:t xml:space="preserve">___________. </w:t>
      </w:r>
      <w:r w:rsidRPr="001E683D">
        <w:rPr>
          <w:rStyle w:val="Style11pt"/>
          <w:rFonts w:eastAsia="Calibri"/>
          <w:i/>
          <w:sz w:val="22"/>
        </w:rPr>
        <w:t>Graphic Discovery</w:t>
      </w:r>
      <w:r w:rsidRPr="001E683D">
        <w:rPr>
          <w:rStyle w:val="Style11pt"/>
          <w:rFonts w:eastAsia="Calibri"/>
          <w:sz w:val="22"/>
        </w:rPr>
        <w:t xml:space="preserve"> (Princeton University Press, 2005).</w:t>
      </w:r>
    </w:p>
    <w:p w:rsidR="007B7E0D" w:rsidRDefault="007B7E0D" w:rsidP="00790628">
      <w:pPr>
        <w:spacing w:after="60"/>
        <w:ind w:left="720" w:right="900" w:hanging="720"/>
        <w:rPr>
          <w:rStyle w:val="Style11pt"/>
          <w:sz w:val="22"/>
        </w:rPr>
      </w:pPr>
      <w:r w:rsidRPr="001E683D">
        <w:rPr>
          <w:rStyle w:val="Style11pt"/>
          <w:rFonts w:eastAsia="Calibri"/>
          <w:sz w:val="22"/>
        </w:rPr>
        <w:t xml:space="preserve">Wallgren, Anders, et. al. </w:t>
      </w:r>
      <w:r w:rsidRPr="001E683D">
        <w:rPr>
          <w:rFonts w:eastAsia="Calibri" w:cs="Times New Roman"/>
          <w:i/>
          <w:sz w:val="22"/>
        </w:rPr>
        <w:t xml:space="preserve">Graphing Statistics &amp; Data </w:t>
      </w:r>
      <w:r w:rsidRPr="001E683D">
        <w:rPr>
          <w:rStyle w:val="Style11pt"/>
          <w:rFonts w:eastAsia="Calibri"/>
          <w:sz w:val="22"/>
        </w:rPr>
        <w:t>(Sage Publications, 1996).</w:t>
      </w:r>
    </w:p>
    <w:p w:rsidR="007B7E0D" w:rsidRDefault="007B7E0D" w:rsidP="00790628">
      <w:pPr>
        <w:spacing w:after="60"/>
        <w:ind w:left="720" w:right="900" w:hanging="720"/>
        <w:rPr>
          <w:rStyle w:val="Style11pt"/>
          <w:sz w:val="22"/>
        </w:rPr>
      </w:pPr>
    </w:p>
    <w:p w:rsidR="007B7E0D" w:rsidRPr="001E683D" w:rsidRDefault="007B7E0D" w:rsidP="00790628">
      <w:pPr>
        <w:spacing w:after="60"/>
        <w:ind w:left="720" w:right="900" w:hanging="720"/>
        <w:rPr>
          <w:rFonts w:eastAsia="Calibri" w:cs="Times New Roman"/>
          <w:b/>
          <w:szCs w:val="24"/>
        </w:rPr>
      </w:pPr>
      <w:r w:rsidRPr="001E683D">
        <w:rPr>
          <w:rStyle w:val="Style11pt"/>
          <w:b/>
          <w:szCs w:val="24"/>
        </w:rPr>
        <w:t>Statistical Fallacies:</w:t>
      </w:r>
    </w:p>
    <w:p w:rsidR="007B7E0D" w:rsidRDefault="007B7E0D" w:rsidP="00790628">
      <w:pPr>
        <w:spacing w:after="60"/>
        <w:ind w:left="720" w:right="900" w:hanging="720"/>
        <w:rPr>
          <w:sz w:val="22"/>
        </w:rPr>
      </w:pPr>
      <w:r w:rsidRPr="001E683D">
        <w:rPr>
          <w:sz w:val="22"/>
        </w:rPr>
        <w:t xml:space="preserve">Campbell, Donald T. and H. L. Ross. "The Connecticut Crackdown on Speeding: Time Series Data in Quasi-Experimental Analysis." </w:t>
      </w:r>
      <w:r w:rsidRPr="001E683D">
        <w:rPr>
          <w:i/>
          <w:sz w:val="22"/>
        </w:rPr>
        <w:t>Law and Society Review</w:t>
      </w:r>
      <w:r w:rsidRPr="001E683D">
        <w:rPr>
          <w:sz w:val="22"/>
        </w:rPr>
        <w:t xml:space="preserve"> 2: 33-53. (1968)</w:t>
      </w:r>
    </w:p>
    <w:p w:rsidR="007B7E0D" w:rsidRPr="001E683D" w:rsidRDefault="007B7E0D" w:rsidP="00790628">
      <w:pPr>
        <w:spacing w:after="60"/>
        <w:ind w:left="720" w:right="900" w:hanging="720"/>
        <w:rPr>
          <w:sz w:val="22"/>
        </w:rPr>
      </w:pPr>
      <w:r w:rsidRPr="001E683D">
        <w:rPr>
          <w:sz w:val="22"/>
        </w:rPr>
        <w:t>Campbell</w:t>
      </w:r>
      <w:r w:rsidR="001617C9">
        <w:rPr>
          <w:sz w:val="22"/>
        </w:rPr>
        <w:t xml:space="preserve">, </w:t>
      </w:r>
      <w:r w:rsidR="001617C9" w:rsidRPr="00AA54B5">
        <w:rPr>
          <w:bCs/>
          <w:sz w:val="22"/>
        </w:rPr>
        <w:t>Stephen</w:t>
      </w:r>
      <w:r w:rsidRPr="00AA54B5">
        <w:rPr>
          <w:sz w:val="22"/>
        </w:rPr>
        <w:t xml:space="preserve"> </w:t>
      </w:r>
      <w:r w:rsidRPr="001E683D">
        <w:rPr>
          <w:sz w:val="22"/>
        </w:rPr>
        <w:t xml:space="preserve">K. </w:t>
      </w:r>
      <w:r w:rsidRPr="001E683D">
        <w:rPr>
          <w:bCs/>
          <w:i/>
          <w:sz w:val="22"/>
        </w:rPr>
        <w:t>Flaws and Fallacies in Statistical Thinking</w:t>
      </w:r>
      <w:r>
        <w:rPr>
          <w:bCs/>
          <w:i/>
          <w:sz w:val="22"/>
        </w:rPr>
        <w:t xml:space="preserve"> </w:t>
      </w:r>
      <w:r w:rsidRPr="001E683D">
        <w:rPr>
          <w:bCs/>
          <w:sz w:val="22"/>
        </w:rPr>
        <w:t>(Prentice-Hall, 2004)</w:t>
      </w:r>
    </w:p>
    <w:p w:rsidR="007B7E0D" w:rsidRDefault="007B7E0D" w:rsidP="00790628">
      <w:pPr>
        <w:spacing w:after="60"/>
        <w:ind w:left="720" w:right="900" w:hanging="720"/>
        <w:rPr>
          <w:sz w:val="22"/>
        </w:rPr>
      </w:pPr>
      <w:r w:rsidRPr="001E683D">
        <w:rPr>
          <w:rFonts w:eastAsia="Calibri" w:cs="Times New Roman"/>
          <w:sz w:val="22"/>
        </w:rPr>
        <w:t>Gorard, Stephen</w:t>
      </w:r>
      <w:r>
        <w:rPr>
          <w:sz w:val="22"/>
        </w:rPr>
        <w:t xml:space="preserve">. </w:t>
      </w:r>
      <w:r w:rsidRPr="001E683D">
        <w:rPr>
          <w:sz w:val="22"/>
        </w:rPr>
        <w:t xml:space="preserve"> </w:t>
      </w:r>
      <w:r w:rsidRPr="001E683D">
        <w:rPr>
          <w:rFonts w:eastAsia="Calibri" w:cs="Times New Roman"/>
          <w:sz w:val="22"/>
        </w:rPr>
        <w:t xml:space="preserve">“Keeping a Sense of Proportion: The ‘Politician’s Error’ In Analysing School Outcomes,” </w:t>
      </w:r>
      <w:r w:rsidRPr="001E683D">
        <w:rPr>
          <w:rFonts w:eastAsia="Calibri" w:cs="Times New Roman"/>
          <w:i/>
          <w:sz w:val="22"/>
        </w:rPr>
        <w:t>British Journal of Educational Studies, 47</w:t>
      </w:r>
      <w:r w:rsidRPr="001E683D">
        <w:rPr>
          <w:rFonts w:eastAsia="Calibri" w:cs="Times New Roman"/>
          <w:sz w:val="22"/>
        </w:rPr>
        <w:t>, no. 3, (September 1999): 235–46.</w:t>
      </w:r>
    </w:p>
    <w:p w:rsidR="007B7E0D" w:rsidRPr="001E683D" w:rsidRDefault="007B7E0D" w:rsidP="00790628">
      <w:pPr>
        <w:spacing w:after="60"/>
        <w:ind w:left="720" w:right="900" w:hanging="720"/>
        <w:rPr>
          <w:sz w:val="22"/>
        </w:rPr>
      </w:pPr>
      <w:r w:rsidRPr="001E683D">
        <w:rPr>
          <w:sz w:val="22"/>
        </w:rPr>
        <w:t>Ross, H.L</w:t>
      </w:r>
      <w:r>
        <w:rPr>
          <w:sz w:val="22"/>
        </w:rPr>
        <w:t>., Campbell, D.T., Glass, G.V.  “</w:t>
      </w:r>
      <w:r w:rsidRPr="001E683D">
        <w:rPr>
          <w:sz w:val="22"/>
        </w:rPr>
        <w:t>Determining the social effects of a legal reform: The British "breathalyser" crackdown of 1967</w:t>
      </w:r>
      <w:r>
        <w:rPr>
          <w:sz w:val="22"/>
        </w:rPr>
        <w:t>”</w:t>
      </w:r>
      <w:r w:rsidRPr="001E683D">
        <w:rPr>
          <w:sz w:val="22"/>
        </w:rPr>
        <w:t xml:space="preserve">. </w:t>
      </w:r>
      <w:r w:rsidRPr="001E683D">
        <w:rPr>
          <w:i/>
          <w:sz w:val="22"/>
        </w:rPr>
        <w:t>American Behavioral Scientist</w:t>
      </w:r>
      <w:r w:rsidRPr="001E683D">
        <w:rPr>
          <w:sz w:val="22"/>
        </w:rPr>
        <w:t>, 13(4), 493-509 (March</w:t>
      </w:r>
      <w:r>
        <w:rPr>
          <w:sz w:val="22"/>
        </w:rPr>
        <w:t>, 1970</w:t>
      </w:r>
      <w:r w:rsidRPr="001E683D">
        <w:rPr>
          <w:sz w:val="22"/>
        </w:rPr>
        <w:t>)</w:t>
      </w:r>
    </w:p>
    <w:p w:rsidR="007B7E0D" w:rsidRDefault="007B7E0D" w:rsidP="00790628">
      <w:pPr>
        <w:spacing w:after="60"/>
        <w:ind w:left="720" w:right="900" w:hanging="720"/>
        <w:rPr>
          <w:sz w:val="22"/>
        </w:rPr>
      </w:pPr>
      <w:r w:rsidRPr="001E683D">
        <w:rPr>
          <w:rStyle w:val="Style11pt"/>
          <w:rFonts w:eastAsia="Calibri"/>
          <w:sz w:val="22"/>
        </w:rPr>
        <w:t xml:space="preserve">Wainer, Howard.  </w:t>
      </w:r>
      <w:r w:rsidRPr="001E683D">
        <w:rPr>
          <w:rFonts w:eastAsia="Calibri" w:cs="Times New Roman"/>
          <w:bCs/>
          <w:i/>
          <w:sz w:val="22"/>
        </w:rPr>
        <w:t xml:space="preserve">Picturing the Uncertain World </w:t>
      </w:r>
      <w:r w:rsidRPr="001E683D">
        <w:rPr>
          <w:sz w:val="22"/>
        </w:rPr>
        <w:t>(Princeton University Press, 2009)</w:t>
      </w:r>
    </w:p>
    <w:p w:rsidR="007B7E0D" w:rsidRDefault="007B7E0D" w:rsidP="007B7E0D">
      <w:pPr>
        <w:spacing w:after="60"/>
        <w:ind w:left="720" w:hanging="720"/>
        <w:rPr>
          <w:sz w:val="22"/>
        </w:rPr>
      </w:pPr>
    </w:p>
    <w:p w:rsidR="007B7E0D" w:rsidRDefault="001617C9" w:rsidP="007B7E0D">
      <w:pPr>
        <w:spacing w:after="60"/>
        <w:ind w:left="720" w:hanging="720"/>
        <w:rPr>
          <w:sz w:val="22"/>
        </w:rPr>
      </w:pPr>
      <w:r>
        <w:rPr>
          <w:b/>
          <w:sz w:val="22"/>
        </w:rPr>
        <w:t>K</w:t>
      </w:r>
      <w:r w:rsidR="007B7E0D" w:rsidRPr="001E683D">
        <w:rPr>
          <w:b/>
          <w:sz w:val="22"/>
        </w:rPr>
        <w:t>ey websites:</w:t>
      </w:r>
    </w:p>
    <w:p w:rsidR="007B7E0D" w:rsidRDefault="007B7E0D" w:rsidP="008E337B">
      <w:pPr>
        <w:spacing w:after="60"/>
        <w:ind w:left="720" w:right="1296" w:hanging="720"/>
        <w:rPr>
          <w:sz w:val="22"/>
        </w:rPr>
      </w:pPr>
      <w:r>
        <w:rPr>
          <w:sz w:val="22"/>
        </w:rPr>
        <w:t xml:space="preserve">Gary Klass, </w:t>
      </w:r>
      <w:r w:rsidRPr="001E683D">
        <w:rPr>
          <w:i/>
          <w:sz w:val="22"/>
        </w:rPr>
        <w:t>Just Plain Data Analysis: Companion Website</w:t>
      </w:r>
      <w:r>
        <w:rPr>
          <w:sz w:val="22"/>
        </w:rPr>
        <w:t xml:space="preserve">   </w:t>
      </w:r>
      <w:r w:rsidRPr="001617C9">
        <w:rPr>
          <w:sz w:val="22"/>
        </w:rPr>
        <w:t>http://lilt.ilstu.edu/jpda/</w:t>
      </w:r>
    </w:p>
    <w:p w:rsidR="007B7E0D" w:rsidRDefault="007B7E0D" w:rsidP="008E337B">
      <w:pPr>
        <w:spacing w:after="60"/>
        <w:ind w:left="720" w:right="1296" w:hanging="720"/>
      </w:pPr>
      <w:r>
        <w:rPr>
          <w:sz w:val="22"/>
        </w:rPr>
        <w:t>Kelley O’Day,</w:t>
      </w:r>
      <w:r w:rsidRPr="001E683D">
        <w:rPr>
          <w:sz w:val="22"/>
        </w:rPr>
        <w:t xml:space="preserve"> </w:t>
      </w:r>
      <w:bookmarkStart w:id="1" w:name="Top_Effective_Charts0"/>
      <w:r w:rsidRPr="001E683D">
        <w:rPr>
          <w:bCs/>
          <w:i/>
          <w:sz w:val="22"/>
        </w:rPr>
        <w:t>Data Visualization</w:t>
      </w:r>
      <w:bookmarkEnd w:id="1"/>
      <w:r w:rsidRPr="001E683D">
        <w:rPr>
          <w:bCs/>
          <w:i/>
          <w:sz w:val="22"/>
        </w:rPr>
        <w:t xml:space="preserve"> &amp; Excel Charts</w:t>
      </w:r>
      <w:r w:rsidRPr="001E683D">
        <w:t xml:space="preserve"> </w:t>
      </w:r>
      <w:r w:rsidRPr="001617C9">
        <w:rPr>
          <w:bCs/>
          <w:sz w:val="22"/>
        </w:rPr>
        <w:t>http://processtrends.com/</w:t>
      </w:r>
      <w:r w:rsidR="008E337B">
        <w:t xml:space="preserve">  </w:t>
      </w:r>
      <w:r w:rsidR="008E337B" w:rsidRPr="008E337B">
        <w:rPr>
          <w:sz w:val="22"/>
        </w:rPr>
        <w:t>The website describes many bad charts and how they might be made better and also covers the R (freeware) charting software.</w:t>
      </w:r>
    </w:p>
    <w:p w:rsidR="0036432F" w:rsidRDefault="00560770" w:rsidP="0036432F">
      <w:pPr>
        <w:spacing w:after="60"/>
        <w:ind w:left="720" w:right="1296" w:hanging="720"/>
      </w:pPr>
      <w:r w:rsidRPr="001E683D">
        <w:rPr>
          <w:bCs/>
          <w:sz w:val="22"/>
        </w:rPr>
        <w:t xml:space="preserve">Jon </w:t>
      </w:r>
      <w:r w:rsidR="00853123">
        <w:rPr>
          <w:bCs/>
          <w:sz w:val="22"/>
        </w:rPr>
        <w:t>Peltier</w:t>
      </w:r>
      <w:r>
        <w:rPr>
          <w:bCs/>
          <w:sz w:val="22"/>
        </w:rPr>
        <w:t xml:space="preserve">, </w:t>
      </w:r>
      <w:r w:rsidRPr="001E683D">
        <w:rPr>
          <w:bCs/>
          <w:sz w:val="22"/>
        </w:rPr>
        <w:t xml:space="preserve"> </w:t>
      </w:r>
      <w:r w:rsidR="00853123">
        <w:rPr>
          <w:bCs/>
          <w:sz w:val="22"/>
        </w:rPr>
        <w:t>Peltier</w:t>
      </w:r>
      <w:r>
        <w:rPr>
          <w:bCs/>
          <w:sz w:val="22"/>
        </w:rPr>
        <w:t xml:space="preserve"> Technical Services </w:t>
      </w:r>
      <w:r w:rsidR="007B7E0D" w:rsidRPr="001E683D">
        <w:rPr>
          <w:bCs/>
          <w:sz w:val="22"/>
        </w:rPr>
        <w:t xml:space="preserve"> Charting in Microsoft Excel </w:t>
      </w:r>
      <w:r w:rsidR="007B7E0D">
        <w:rPr>
          <w:bCs/>
          <w:sz w:val="22"/>
        </w:rPr>
        <w:br/>
      </w:r>
      <w:r w:rsidR="007B7E0D" w:rsidRPr="001617C9">
        <w:rPr>
          <w:bCs/>
          <w:sz w:val="22"/>
        </w:rPr>
        <w:t>http://peltiertech.com/Excel/Charts/</w:t>
      </w:r>
    </w:p>
    <w:p w:rsidR="007B7E0D" w:rsidRPr="007B7E0D" w:rsidRDefault="00853123" w:rsidP="0036432F">
      <w:pPr>
        <w:spacing w:after="60"/>
        <w:ind w:left="720" w:right="1296"/>
        <w:rPr>
          <w:sz w:val="22"/>
        </w:rPr>
      </w:pPr>
      <w:r>
        <w:rPr>
          <w:sz w:val="22"/>
        </w:rPr>
        <w:t>Peltier</w:t>
      </w:r>
      <w:r w:rsidR="007B7E0D" w:rsidRPr="007B7E0D">
        <w:rPr>
          <w:sz w:val="22"/>
        </w:rPr>
        <w:t>’s website provides instructions for constructing large number of combination charts,</w:t>
      </w:r>
      <w:r w:rsidR="008E337B" w:rsidRPr="007B7E0D">
        <w:rPr>
          <w:sz w:val="22"/>
        </w:rPr>
        <w:t xml:space="preserve"> </w:t>
      </w:r>
      <w:r w:rsidR="007B7E0D" w:rsidRPr="007B7E0D">
        <w:rPr>
          <w:sz w:val="22"/>
        </w:rPr>
        <w:t xml:space="preserve">charts with text Y-axes, “broken axis” charts, variations on area charts that color </w:t>
      </w:r>
      <w:r w:rsidR="008E337B">
        <w:rPr>
          <w:sz w:val="22"/>
        </w:rPr>
        <w:t>s</w:t>
      </w:r>
      <w:r w:rsidR="007B7E0D" w:rsidRPr="007B7E0D">
        <w:rPr>
          <w:sz w:val="22"/>
        </w:rPr>
        <w:t>pecific</w:t>
      </w:r>
      <w:r w:rsidR="0036432F">
        <w:rPr>
          <w:sz w:val="22"/>
        </w:rPr>
        <w:t xml:space="preserve"> </w:t>
      </w:r>
      <w:r w:rsidR="007B7E0D" w:rsidRPr="007B7E0D">
        <w:rPr>
          <w:sz w:val="22"/>
        </w:rPr>
        <w:t>plot area ranges</w:t>
      </w:r>
      <w:r w:rsidR="007B7E0D">
        <w:rPr>
          <w:sz w:val="22"/>
        </w:rPr>
        <w:t xml:space="preserve">.  </w:t>
      </w:r>
      <w:r w:rsidR="00560770">
        <w:rPr>
          <w:sz w:val="22"/>
        </w:rPr>
        <w:t>The BoxPlotter is among his several Excel add-ins.</w:t>
      </w:r>
    </w:p>
    <w:p w:rsidR="007B7E0D" w:rsidRPr="00660A7E" w:rsidRDefault="007B7E0D" w:rsidP="008E337B">
      <w:pPr>
        <w:spacing w:after="60"/>
        <w:ind w:left="720" w:right="1296" w:hanging="720"/>
        <w:rPr>
          <w:sz w:val="22"/>
        </w:rPr>
      </w:pPr>
      <w:r w:rsidRPr="001E683D">
        <w:rPr>
          <w:bCs/>
          <w:sz w:val="22"/>
        </w:rPr>
        <w:t>Milo Schield</w:t>
      </w:r>
      <w:r>
        <w:rPr>
          <w:bCs/>
          <w:sz w:val="22"/>
        </w:rPr>
        <w:t xml:space="preserve">, </w:t>
      </w:r>
      <w:r w:rsidRPr="00660A7E">
        <w:rPr>
          <w:bCs/>
          <w:i/>
          <w:sz w:val="22"/>
        </w:rPr>
        <w:t>StatLit.Org</w:t>
      </w:r>
      <w:r w:rsidRPr="00660A7E">
        <w:rPr>
          <w:bCs/>
          <w:sz w:val="22"/>
        </w:rPr>
        <w:t xml:space="preserve">   </w:t>
      </w:r>
      <w:r w:rsidRPr="001617C9">
        <w:rPr>
          <w:bCs/>
          <w:sz w:val="22"/>
        </w:rPr>
        <w:t>http://www.statlit.org/</w:t>
      </w:r>
      <w:r w:rsidR="00660A7E" w:rsidRPr="00660A7E">
        <w:rPr>
          <w:sz w:val="22"/>
        </w:rPr>
        <w:t xml:space="preserve">   This is the headquarters for the movement for</w:t>
      </w:r>
      <w:r w:rsidR="001617C9">
        <w:rPr>
          <w:sz w:val="22"/>
        </w:rPr>
        <w:t xml:space="preserve"> </w:t>
      </w:r>
      <w:r w:rsidR="00660A7E" w:rsidRPr="00660A7E">
        <w:rPr>
          <w:sz w:val="22"/>
        </w:rPr>
        <w:t>teach</w:t>
      </w:r>
      <w:r w:rsidR="008E337B">
        <w:rPr>
          <w:sz w:val="22"/>
        </w:rPr>
        <w:t>ing statistical literacy skills in high school and college.</w:t>
      </w:r>
    </w:p>
    <w:p w:rsidR="00660A7E" w:rsidRPr="00660A7E" w:rsidRDefault="007B7E0D" w:rsidP="008E337B">
      <w:pPr>
        <w:spacing w:after="60"/>
        <w:ind w:left="720" w:right="1296" w:hanging="720"/>
        <w:rPr>
          <w:sz w:val="22"/>
        </w:rPr>
      </w:pPr>
      <w:r w:rsidRPr="00660A7E">
        <w:rPr>
          <w:bCs/>
          <w:sz w:val="22"/>
        </w:rPr>
        <w:t xml:space="preserve">John Walkenbach, </w:t>
      </w:r>
      <w:r w:rsidRPr="00660A7E">
        <w:rPr>
          <w:bCs/>
          <w:i/>
          <w:sz w:val="22"/>
        </w:rPr>
        <w:t>The Spreadsheet Page</w:t>
      </w:r>
      <w:r w:rsidRPr="00660A7E">
        <w:rPr>
          <w:bCs/>
          <w:sz w:val="22"/>
        </w:rPr>
        <w:t xml:space="preserve"> </w:t>
      </w:r>
      <w:r w:rsidR="00660A7E" w:rsidRPr="001617C9">
        <w:rPr>
          <w:sz w:val="22"/>
        </w:rPr>
        <w:t>http://spreadsheetpage.com/index.php/tips</w:t>
      </w:r>
    </w:p>
    <w:p w:rsidR="00660A7E" w:rsidRPr="00660A7E" w:rsidRDefault="00660A7E" w:rsidP="008E337B">
      <w:pPr>
        <w:spacing w:after="60"/>
        <w:ind w:left="720" w:right="1296"/>
        <w:rPr>
          <w:bCs/>
          <w:sz w:val="22"/>
        </w:rPr>
      </w:pPr>
      <w:r w:rsidRPr="00660A7E">
        <w:rPr>
          <w:bCs/>
          <w:sz w:val="22"/>
        </w:rPr>
        <w:t>Walkenbach has published many Excel books. His “Tips” page contains many very useful Excel</w:t>
      </w:r>
      <w:r w:rsidR="0036432F">
        <w:rPr>
          <w:bCs/>
          <w:sz w:val="22"/>
        </w:rPr>
        <w:t xml:space="preserve"> </w:t>
      </w:r>
      <w:r w:rsidRPr="00660A7E">
        <w:rPr>
          <w:bCs/>
          <w:sz w:val="22"/>
        </w:rPr>
        <w:t>tips and tricks, both for charting and managing the Excel spreadsheet.  His Power Utility Pak ($49)</w:t>
      </w:r>
      <w:r w:rsidR="0036432F">
        <w:rPr>
          <w:bCs/>
          <w:sz w:val="22"/>
        </w:rPr>
        <w:t xml:space="preserve"> </w:t>
      </w:r>
      <w:r w:rsidRPr="00660A7E">
        <w:rPr>
          <w:bCs/>
          <w:sz w:val="22"/>
        </w:rPr>
        <w:t>is an Excel add-in that adds dozens of new features and functions to Excel including Excel</w:t>
      </w:r>
      <w:r w:rsidR="0036432F">
        <w:rPr>
          <w:bCs/>
          <w:sz w:val="22"/>
        </w:rPr>
        <w:t xml:space="preserve"> </w:t>
      </w:r>
      <w:r w:rsidRPr="00660A7E">
        <w:rPr>
          <w:bCs/>
          <w:sz w:val="22"/>
        </w:rPr>
        <w:t>bookmarks and an excellent chart-labeller.</w:t>
      </w:r>
    </w:p>
    <w:p w:rsidR="007B7E0D" w:rsidRPr="00660A7E" w:rsidRDefault="007B7E0D" w:rsidP="008E337B">
      <w:pPr>
        <w:spacing w:after="60"/>
        <w:ind w:left="720" w:right="1296" w:hanging="720"/>
        <w:rPr>
          <w:bCs/>
          <w:sz w:val="22"/>
        </w:rPr>
      </w:pPr>
      <w:r w:rsidRPr="00660A7E">
        <w:rPr>
          <w:bCs/>
          <w:sz w:val="22"/>
        </w:rPr>
        <w:t xml:space="preserve">Excel Charting Newsgroup: </w:t>
      </w:r>
      <w:r w:rsidRPr="001617C9">
        <w:rPr>
          <w:color w:val="000000" w:themeColor="text1"/>
          <w:sz w:val="22"/>
        </w:rPr>
        <w:t>microsoft.public.excel.charting</w:t>
      </w:r>
      <w:r w:rsidR="00660A7E" w:rsidRPr="001617C9">
        <w:rPr>
          <w:color w:val="000000" w:themeColor="text1"/>
          <w:sz w:val="22"/>
        </w:rPr>
        <w:t xml:space="preserve"> .</w:t>
      </w:r>
      <w:r w:rsidR="00660A7E" w:rsidRPr="00660A7E">
        <w:rPr>
          <w:sz w:val="22"/>
        </w:rPr>
        <w:t xml:space="preserve"> Whenever you discover that something</w:t>
      </w:r>
      <w:r w:rsidR="0036432F">
        <w:rPr>
          <w:sz w:val="22"/>
        </w:rPr>
        <w:t xml:space="preserve"> </w:t>
      </w:r>
      <w:r w:rsidR="00660A7E" w:rsidRPr="00660A7E">
        <w:rPr>
          <w:sz w:val="22"/>
        </w:rPr>
        <w:t xml:space="preserve">is impossible </w:t>
      </w:r>
      <w:r w:rsidR="00660A7E">
        <w:rPr>
          <w:sz w:val="22"/>
        </w:rPr>
        <w:t>has happened in</w:t>
      </w:r>
      <w:r w:rsidR="00660A7E" w:rsidRPr="00660A7E">
        <w:rPr>
          <w:sz w:val="22"/>
        </w:rPr>
        <w:t xml:space="preserve"> Excel</w:t>
      </w:r>
      <w:r w:rsidR="00660A7E">
        <w:rPr>
          <w:sz w:val="22"/>
        </w:rPr>
        <w:t>, send a help request to this newsgroup.  They often provide</w:t>
      </w:r>
      <w:r w:rsidR="0036432F">
        <w:rPr>
          <w:sz w:val="22"/>
        </w:rPr>
        <w:t xml:space="preserve"> </w:t>
      </w:r>
      <w:r w:rsidR="00660A7E">
        <w:rPr>
          <w:sz w:val="22"/>
        </w:rPr>
        <w:t>a solution within minutes.</w:t>
      </w:r>
    </w:p>
    <w:p w:rsidR="007B7E0D" w:rsidRDefault="007B7E0D" w:rsidP="008E337B">
      <w:pPr>
        <w:ind w:right="1296"/>
        <w:rPr>
          <w:rFonts w:asciiTheme="minorHAnsi" w:hAnsiTheme="minorHAnsi" w:cs="Arial"/>
          <w:sz w:val="18"/>
          <w:szCs w:val="18"/>
        </w:rPr>
      </w:pPr>
    </w:p>
    <w:sectPr w:rsidR="007B7E0D" w:rsidSect="00745F97">
      <w:headerReference w:type="default" r:id="rId60"/>
      <w:pgSz w:w="12240" w:h="15840"/>
      <w:pgMar w:top="1170" w:right="900" w:bottom="270" w:left="1620" w:header="54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841" w:rsidRDefault="00BD0841" w:rsidP="00CA67E6">
      <w:r>
        <w:separator/>
      </w:r>
    </w:p>
  </w:endnote>
  <w:endnote w:type="continuationSeparator" w:id="0">
    <w:p w:rsidR="00BD0841" w:rsidRDefault="00BD0841" w:rsidP="00CA67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rebuchet MS Italic"/>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altName w:val="Trebuchet MS Italic"/>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841" w:rsidRDefault="00BD0841" w:rsidP="00CA67E6">
      <w:r>
        <w:separator/>
      </w:r>
    </w:p>
  </w:footnote>
  <w:footnote w:type="continuationSeparator" w:id="0">
    <w:p w:rsidR="00BD0841" w:rsidRDefault="00BD0841" w:rsidP="00CA67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554923"/>
      <w:docPartObj>
        <w:docPartGallery w:val="Page Numbers (Top of Page)"/>
        <w:docPartUnique/>
      </w:docPartObj>
    </w:sdtPr>
    <w:sdtContent>
      <w:p w:rsidR="00AF2858" w:rsidRDefault="003E6E04">
        <w:pPr>
          <w:pStyle w:val="Header"/>
          <w:jc w:val="right"/>
        </w:pPr>
        <w:fldSimple w:instr=" PAGE   \* MERGEFORMAT ">
          <w:r w:rsidR="00B17C08">
            <w:rPr>
              <w:noProof/>
            </w:rPr>
            <w:t>12</w:t>
          </w:r>
        </w:fldSimple>
      </w:p>
    </w:sdtContent>
  </w:sdt>
  <w:p w:rsidR="00AF2858" w:rsidRDefault="00AF28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1A0A"/>
    <w:multiLevelType w:val="hybridMultilevel"/>
    <w:tmpl w:val="49549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D2975"/>
    <w:multiLevelType w:val="hybridMultilevel"/>
    <w:tmpl w:val="3030213A"/>
    <w:lvl w:ilvl="0" w:tplc="0FF6C310">
      <w:start w:val="1"/>
      <w:numFmt w:val="bullet"/>
      <w:lvlText w:val="•"/>
      <w:lvlJc w:val="left"/>
      <w:pPr>
        <w:tabs>
          <w:tab w:val="num" w:pos="720"/>
        </w:tabs>
        <w:ind w:left="720" w:hanging="360"/>
      </w:pPr>
      <w:rPr>
        <w:rFonts w:ascii="Arial" w:hAnsi="Arial" w:hint="default"/>
      </w:rPr>
    </w:lvl>
    <w:lvl w:ilvl="1" w:tplc="DFEAD758" w:tentative="1">
      <w:start w:val="1"/>
      <w:numFmt w:val="bullet"/>
      <w:lvlText w:val="•"/>
      <w:lvlJc w:val="left"/>
      <w:pPr>
        <w:tabs>
          <w:tab w:val="num" w:pos="1440"/>
        </w:tabs>
        <w:ind w:left="1440" w:hanging="360"/>
      </w:pPr>
      <w:rPr>
        <w:rFonts w:ascii="Arial" w:hAnsi="Arial" w:hint="default"/>
      </w:rPr>
    </w:lvl>
    <w:lvl w:ilvl="2" w:tplc="F2240D70" w:tentative="1">
      <w:start w:val="1"/>
      <w:numFmt w:val="bullet"/>
      <w:lvlText w:val="•"/>
      <w:lvlJc w:val="left"/>
      <w:pPr>
        <w:tabs>
          <w:tab w:val="num" w:pos="2160"/>
        </w:tabs>
        <w:ind w:left="2160" w:hanging="360"/>
      </w:pPr>
      <w:rPr>
        <w:rFonts w:ascii="Arial" w:hAnsi="Arial" w:hint="default"/>
      </w:rPr>
    </w:lvl>
    <w:lvl w:ilvl="3" w:tplc="02082B58" w:tentative="1">
      <w:start w:val="1"/>
      <w:numFmt w:val="bullet"/>
      <w:lvlText w:val="•"/>
      <w:lvlJc w:val="left"/>
      <w:pPr>
        <w:tabs>
          <w:tab w:val="num" w:pos="2880"/>
        </w:tabs>
        <w:ind w:left="2880" w:hanging="360"/>
      </w:pPr>
      <w:rPr>
        <w:rFonts w:ascii="Arial" w:hAnsi="Arial" w:hint="default"/>
      </w:rPr>
    </w:lvl>
    <w:lvl w:ilvl="4" w:tplc="54FEF4CA" w:tentative="1">
      <w:start w:val="1"/>
      <w:numFmt w:val="bullet"/>
      <w:lvlText w:val="•"/>
      <w:lvlJc w:val="left"/>
      <w:pPr>
        <w:tabs>
          <w:tab w:val="num" w:pos="3600"/>
        </w:tabs>
        <w:ind w:left="3600" w:hanging="360"/>
      </w:pPr>
      <w:rPr>
        <w:rFonts w:ascii="Arial" w:hAnsi="Arial" w:hint="default"/>
      </w:rPr>
    </w:lvl>
    <w:lvl w:ilvl="5" w:tplc="810666CC" w:tentative="1">
      <w:start w:val="1"/>
      <w:numFmt w:val="bullet"/>
      <w:lvlText w:val="•"/>
      <w:lvlJc w:val="left"/>
      <w:pPr>
        <w:tabs>
          <w:tab w:val="num" w:pos="4320"/>
        </w:tabs>
        <w:ind w:left="4320" w:hanging="360"/>
      </w:pPr>
      <w:rPr>
        <w:rFonts w:ascii="Arial" w:hAnsi="Arial" w:hint="default"/>
      </w:rPr>
    </w:lvl>
    <w:lvl w:ilvl="6" w:tplc="F5B4C266" w:tentative="1">
      <w:start w:val="1"/>
      <w:numFmt w:val="bullet"/>
      <w:lvlText w:val="•"/>
      <w:lvlJc w:val="left"/>
      <w:pPr>
        <w:tabs>
          <w:tab w:val="num" w:pos="5040"/>
        </w:tabs>
        <w:ind w:left="5040" w:hanging="360"/>
      </w:pPr>
      <w:rPr>
        <w:rFonts w:ascii="Arial" w:hAnsi="Arial" w:hint="default"/>
      </w:rPr>
    </w:lvl>
    <w:lvl w:ilvl="7" w:tplc="69CE916E" w:tentative="1">
      <w:start w:val="1"/>
      <w:numFmt w:val="bullet"/>
      <w:lvlText w:val="•"/>
      <w:lvlJc w:val="left"/>
      <w:pPr>
        <w:tabs>
          <w:tab w:val="num" w:pos="5760"/>
        </w:tabs>
        <w:ind w:left="5760" w:hanging="360"/>
      </w:pPr>
      <w:rPr>
        <w:rFonts w:ascii="Arial" w:hAnsi="Arial" w:hint="default"/>
      </w:rPr>
    </w:lvl>
    <w:lvl w:ilvl="8" w:tplc="99FE1432" w:tentative="1">
      <w:start w:val="1"/>
      <w:numFmt w:val="bullet"/>
      <w:lvlText w:val="•"/>
      <w:lvlJc w:val="left"/>
      <w:pPr>
        <w:tabs>
          <w:tab w:val="num" w:pos="6480"/>
        </w:tabs>
        <w:ind w:left="6480" w:hanging="360"/>
      </w:pPr>
      <w:rPr>
        <w:rFonts w:ascii="Arial" w:hAnsi="Arial" w:hint="default"/>
      </w:rPr>
    </w:lvl>
  </w:abstractNum>
  <w:abstractNum w:abstractNumId="2">
    <w:nsid w:val="0A2132DB"/>
    <w:multiLevelType w:val="hybridMultilevel"/>
    <w:tmpl w:val="52C4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7E4BC0"/>
    <w:multiLevelType w:val="hybridMultilevel"/>
    <w:tmpl w:val="975A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B383C"/>
    <w:multiLevelType w:val="hybridMultilevel"/>
    <w:tmpl w:val="280C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8A2568"/>
    <w:multiLevelType w:val="hybridMultilevel"/>
    <w:tmpl w:val="6E70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4254EC"/>
    <w:multiLevelType w:val="hybridMultilevel"/>
    <w:tmpl w:val="36141A2C"/>
    <w:lvl w:ilvl="0" w:tplc="4E604CA2">
      <w:start w:val="1"/>
      <w:numFmt w:val="bullet"/>
      <w:lvlText w:val="–"/>
      <w:lvlJc w:val="left"/>
      <w:pPr>
        <w:tabs>
          <w:tab w:val="num" w:pos="720"/>
        </w:tabs>
        <w:ind w:left="720" w:hanging="360"/>
      </w:pPr>
      <w:rPr>
        <w:rFonts w:ascii="Arial" w:hAnsi="Arial" w:hint="default"/>
      </w:rPr>
    </w:lvl>
    <w:lvl w:ilvl="1" w:tplc="3872F3DE">
      <w:start w:val="1"/>
      <w:numFmt w:val="bullet"/>
      <w:lvlText w:val="–"/>
      <w:lvlJc w:val="left"/>
      <w:pPr>
        <w:tabs>
          <w:tab w:val="num" w:pos="1440"/>
        </w:tabs>
        <w:ind w:left="1440" w:hanging="360"/>
      </w:pPr>
      <w:rPr>
        <w:rFonts w:ascii="Arial" w:hAnsi="Arial" w:hint="default"/>
      </w:rPr>
    </w:lvl>
    <w:lvl w:ilvl="2" w:tplc="4D3A18D2" w:tentative="1">
      <w:start w:val="1"/>
      <w:numFmt w:val="bullet"/>
      <w:lvlText w:val="–"/>
      <w:lvlJc w:val="left"/>
      <w:pPr>
        <w:tabs>
          <w:tab w:val="num" w:pos="2160"/>
        </w:tabs>
        <w:ind w:left="2160" w:hanging="360"/>
      </w:pPr>
      <w:rPr>
        <w:rFonts w:ascii="Arial" w:hAnsi="Arial" w:hint="default"/>
      </w:rPr>
    </w:lvl>
    <w:lvl w:ilvl="3" w:tplc="84A43002" w:tentative="1">
      <w:start w:val="1"/>
      <w:numFmt w:val="bullet"/>
      <w:lvlText w:val="–"/>
      <w:lvlJc w:val="left"/>
      <w:pPr>
        <w:tabs>
          <w:tab w:val="num" w:pos="2880"/>
        </w:tabs>
        <w:ind w:left="2880" w:hanging="360"/>
      </w:pPr>
      <w:rPr>
        <w:rFonts w:ascii="Arial" w:hAnsi="Arial" w:hint="default"/>
      </w:rPr>
    </w:lvl>
    <w:lvl w:ilvl="4" w:tplc="0E9CC1AA" w:tentative="1">
      <w:start w:val="1"/>
      <w:numFmt w:val="bullet"/>
      <w:lvlText w:val="–"/>
      <w:lvlJc w:val="left"/>
      <w:pPr>
        <w:tabs>
          <w:tab w:val="num" w:pos="3600"/>
        </w:tabs>
        <w:ind w:left="3600" w:hanging="360"/>
      </w:pPr>
      <w:rPr>
        <w:rFonts w:ascii="Arial" w:hAnsi="Arial" w:hint="default"/>
      </w:rPr>
    </w:lvl>
    <w:lvl w:ilvl="5" w:tplc="49CA3954" w:tentative="1">
      <w:start w:val="1"/>
      <w:numFmt w:val="bullet"/>
      <w:lvlText w:val="–"/>
      <w:lvlJc w:val="left"/>
      <w:pPr>
        <w:tabs>
          <w:tab w:val="num" w:pos="4320"/>
        </w:tabs>
        <w:ind w:left="4320" w:hanging="360"/>
      </w:pPr>
      <w:rPr>
        <w:rFonts w:ascii="Arial" w:hAnsi="Arial" w:hint="default"/>
      </w:rPr>
    </w:lvl>
    <w:lvl w:ilvl="6" w:tplc="C05E4E2C" w:tentative="1">
      <w:start w:val="1"/>
      <w:numFmt w:val="bullet"/>
      <w:lvlText w:val="–"/>
      <w:lvlJc w:val="left"/>
      <w:pPr>
        <w:tabs>
          <w:tab w:val="num" w:pos="5040"/>
        </w:tabs>
        <w:ind w:left="5040" w:hanging="360"/>
      </w:pPr>
      <w:rPr>
        <w:rFonts w:ascii="Arial" w:hAnsi="Arial" w:hint="default"/>
      </w:rPr>
    </w:lvl>
    <w:lvl w:ilvl="7" w:tplc="4F165762" w:tentative="1">
      <w:start w:val="1"/>
      <w:numFmt w:val="bullet"/>
      <w:lvlText w:val="–"/>
      <w:lvlJc w:val="left"/>
      <w:pPr>
        <w:tabs>
          <w:tab w:val="num" w:pos="5760"/>
        </w:tabs>
        <w:ind w:left="5760" w:hanging="360"/>
      </w:pPr>
      <w:rPr>
        <w:rFonts w:ascii="Arial" w:hAnsi="Arial" w:hint="default"/>
      </w:rPr>
    </w:lvl>
    <w:lvl w:ilvl="8" w:tplc="E75C56B2" w:tentative="1">
      <w:start w:val="1"/>
      <w:numFmt w:val="bullet"/>
      <w:lvlText w:val="–"/>
      <w:lvlJc w:val="left"/>
      <w:pPr>
        <w:tabs>
          <w:tab w:val="num" w:pos="6480"/>
        </w:tabs>
        <w:ind w:left="6480" w:hanging="360"/>
      </w:pPr>
      <w:rPr>
        <w:rFonts w:ascii="Arial" w:hAnsi="Arial" w:hint="default"/>
      </w:rPr>
    </w:lvl>
  </w:abstractNum>
  <w:abstractNum w:abstractNumId="7">
    <w:nsid w:val="44C74339"/>
    <w:multiLevelType w:val="hybridMultilevel"/>
    <w:tmpl w:val="626C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BC2B6B"/>
    <w:multiLevelType w:val="hybridMultilevel"/>
    <w:tmpl w:val="C140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B27CAA"/>
    <w:multiLevelType w:val="hybridMultilevel"/>
    <w:tmpl w:val="B9CE9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8EA456C"/>
    <w:multiLevelType w:val="hybridMultilevel"/>
    <w:tmpl w:val="2CC8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106803"/>
    <w:multiLevelType w:val="hybridMultilevel"/>
    <w:tmpl w:val="003A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396028"/>
    <w:multiLevelType w:val="hybridMultilevel"/>
    <w:tmpl w:val="2FEE4D86"/>
    <w:lvl w:ilvl="0" w:tplc="7760033E">
      <w:start w:val="1"/>
      <w:numFmt w:val="bullet"/>
      <w:lvlText w:val="–"/>
      <w:lvlJc w:val="left"/>
      <w:pPr>
        <w:tabs>
          <w:tab w:val="num" w:pos="720"/>
        </w:tabs>
        <w:ind w:left="720" w:hanging="360"/>
      </w:pPr>
      <w:rPr>
        <w:rFonts w:ascii="Arial" w:hAnsi="Arial" w:hint="default"/>
      </w:rPr>
    </w:lvl>
    <w:lvl w:ilvl="1" w:tplc="CD70BB58">
      <w:start w:val="1"/>
      <w:numFmt w:val="bullet"/>
      <w:lvlText w:val="–"/>
      <w:lvlJc w:val="left"/>
      <w:pPr>
        <w:tabs>
          <w:tab w:val="num" w:pos="1440"/>
        </w:tabs>
        <w:ind w:left="1440" w:hanging="360"/>
      </w:pPr>
      <w:rPr>
        <w:rFonts w:ascii="Arial" w:hAnsi="Arial" w:hint="default"/>
      </w:rPr>
    </w:lvl>
    <w:lvl w:ilvl="2" w:tplc="9364EBD4" w:tentative="1">
      <w:start w:val="1"/>
      <w:numFmt w:val="bullet"/>
      <w:lvlText w:val="–"/>
      <w:lvlJc w:val="left"/>
      <w:pPr>
        <w:tabs>
          <w:tab w:val="num" w:pos="2160"/>
        </w:tabs>
        <w:ind w:left="2160" w:hanging="360"/>
      </w:pPr>
      <w:rPr>
        <w:rFonts w:ascii="Arial" w:hAnsi="Arial" w:hint="default"/>
      </w:rPr>
    </w:lvl>
    <w:lvl w:ilvl="3" w:tplc="CCC42AFC" w:tentative="1">
      <w:start w:val="1"/>
      <w:numFmt w:val="bullet"/>
      <w:lvlText w:val="–"/>
      <w:lvlJc w:val="left"/>
      <w:pPr>
        <w:tabs>
          <w:tab w:val="num" w:pos="2880"/>
        </w:tabs>
        <w:ind w:left="2880" w:hanging="360"/>
      </w:pPr>
      <w:rPr>
        <w:rFonts w:ascii="Arial" w:hAnsi="Arial" w:hint="default"/>
      </w:rPr>
    </w:lvl>
    <w:lvl w:ilvl="4" w:tplc="6D18D12E" w:tentative="1">
      <w:start w:val="1"/>
      <w:numFmt w:val="bullet"/>
      <w:lvlText w:val="–"/>
      <w:lvlJc w:val="left"/>
      <w:pPr>
        <w:tabs>
          <w:tab w:val="num" w:pos="3600"/>
        </w:tabs>
        <w:ind w:left="3600" w:hanging="360"/>
      </w:pPr>
      <w:rPr>
        <w:rFonts w:ascii="Arial" w:hAnsi="Arial" w:hint="default"/>
      </w:rPr>
    </w:lvl>
    <w:lvl w:ilvl="5" w:tplc="6B0876A6" w:tentative="1">
      <w:start w:val="1"/>
      <w:numFmt w:val="bullet"/>
      <w:lvlText w:val="–"/>
      <w:lvlJc w:val="left"/>
      <w:pPr>
        <w:tabs>
          <w:tab w:val="num" w:pos="4320"/>
        </w:tabs>
        <w:ind w:left="4320" w:hanging="360"/>
      </w:pPr>
      <w:rPr>
        <w:rFonts w:ascii="Arial" w:hAnsi="Arial" w:hint="default"/>
      </w:rPr>
    </w:lvl>
    <w:lvl w:ilvl="6" w:tplc="44D03170" w:tentative="1">
      <w:start w:val="1"/>
      <w:numFmt w:val="bullet"/>
      <w:lvlText w:val="–"/>
      <w:lvlJc w:val="left"/>
      <w:pPr>
        <w:tabs>
          <w:tab w:val="num" w:pos="5040"/>
        </w:tabs>
        <w:ind w:left="5040" w:hanging="360"/>
      </w:pPr>
      <w:rPr>
        <w:rFonts w:ascii="Arial" w:hAnsi="Arial" w:hint="default"/>
      </w:rPr>
    </w:lvl>
    <w:lvl w:ilvl="7" w:tplc="EBF24A40" w:tentative="1">
      <w:start w:val="1"/>
      <w:numFmt w:val="bullet"/>
      <w:lvlText w:val="–"/>
      <w:lvlJc w:val="left"/>
      <w:pPr>
        <w:tabs>
          <w:tab w:val="num" w:pos="5760"/>
        </w:tabs>
        <w:ind w:left="5760" w:hanging="360"/>
      </w:pPr>
      <w:rPr>
        <w:rFonts w:ascii="Arial" w:hAnsi="Arial" w:hint="default"/>
      </w:rPr>
    </w:lvl>
    <w:lvl w:ilvl="8" w:tplc="FB965832" w:tentative="1">
      <w:start w:val="1"/>
      <w:numFmt w:val="bullet"/>
      <w:lvlText w:val="–"/>
      <w:lvlJc w:val="left"/>
      <w:pPr>
        <w:tabs>
          <w:tab w:val="num" w:pos="6480"/>
        </w:tabs>
        <w:ind w:left="6480" w:hanging="360"/>
      </w:pPr>
      <w:rPr>
        <w:rFonts w:ascii="Arial" w:hAnsi="Arial" w:hint="default"/>
      </w:rPr>
    </w:lvl>
  </w:abstractNum>
  <w:abstractNum w:abstractNumId="13">
    <w:nsid w:val="6A064631"/>
    <w:multiLevelType w:val="hybridMultilevel"/>
    <w:tmpl w:val="060C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9B0E93"/>
    <w:multiLevelType w:val="hybridMultilevel"/>
    <w:tmpl w:val="BFC69EFE"/>
    <w:lvl w:ilvl="0" w:tplc="DF7E7AE8">
      <w:start w:val="1"/>
      <w:numFmt w:val="bullet"/>
      <w:lvlText w:val="–"/>
      <w:lvlJc w:val="left"/>
      <w:pPr>
        <w:tabs>
          <w:tab w:val="num" w:pos="720"/>
        </w:tabs>
        <w:ind w:left="720" w:hanging="360"/>
      </w:pPr>
      <w:rPr>
        <w:rFonts w:ascii="Arial" w:hAnsi="Arial" w:hint="default"/>
      </w:rPr>
    </w:lvl>
    <w:lvl w:ilvl="1" w:tplc="9A426FEC">
      <w:start w:val="1"/>
      <w:numFmt w:val="bullet"/>
      <w:lvlText w:val="–"/>
      <w:lvlJc w:val="left"/>
      <w:pPr>
        <w:tabs>
          <w:tab w:val="num" w:pos="1440"/>
        </w:tabs>
        <w:ind w:left="1440" w:hanging="360"/>
      </w:pPr>
      <w:rPr>
        <w:rFonts w:ascii="Arial" w:hAnsi="Arial" w:hint="default"/>
      </w:rPr>
    </w:lvl>
    <w:lvl w:ilvl="2" w:tplc="3EB62BB6" w:tentative="1">
      <w:start w:val="1"/>
      <w:numFmt w:val="bullet"/>
      <w:lvlText w:val="–"/>
      <w:lvlJc w:val="left"/>
      <w:pPr>
        <w:tabs>
          <w:tab w:val="num" w:pos="2160"/>
        </w:tabs>
        <w:ind w:left="2160" w:hanging="360"/>
      </w:pPr>
      <w:rPr>
        <w:rFonts w:ascii="Arial" w:hAnsi="Arial" w:hint="default"/>
      </w:rPr>
    </w:lvl>
    <w:lvl w:ilvl="3" w:tplc="62E0B6FE" w:tentative="1">
      <w:start w:val="1"/>
      <w:numFmt w:val="bullet"/>
      <w:lvlText w:val="–"/>
      <w:lvlJc w:val="left"/>
      <w:pPr>
        <w:tabs>
          <w:tab w:val="num" w:pos="2880"/>
        </w:tabs>
        <w:ind w:left="2880" w:hanging="360"/>
      </w:pPr>
      <w:rPr>
        <w:rFonts w:ascii="Arial" w:hAnsi="Arial" w:hint="default"/>
      </w:rPr>
    </w:lvl>
    <w:lvl w:ilvl="4" w:tplc="A65A4E32" w:tentative="1">
      <w:start w:val="1"/>
      <w:numFmt w:val="bullet"/>
      <w:lvlText w:val="–"/>
      <w:lvlJc w:val="left"/>
      <w:pPr>
        <w:tabs>
          <w:tab w:val="num" w:pos="3600"/>
        </w:tabs>
        <w:ind w:left="3600" w:hanging="360"/>
      </w:pPr>
      <w:rPr>
        <w:rFonts w:ascii="Arial" w:hAnsi="Arial" w:hint="default"/>
      </w:rPr>
    </w:lvl>
    <w:lvl w:ilvl="5" w:tplc="37A05406" w:tentative="1">
      <w:start w:val="1"/>
      <w:numFmt w:val="bullet"/>
      <w:lvlText w:val="–"/>
      <w:lvlJc w:val="left"/>
      <w:pPr>
        <w:tabs>
          <w:tab w:val="num" w:pos="4320"/>
        </w:tabs>
        <w:ind w:left="4320" w:hanging="360"/>
      </w:pPr>
      <w:rPr>
        <w:rFonts w:ascii="Arial" w:hAnsi="Arial" w:hint="default"/>
      </w:rPr>
    </w:lvl>
    <w:lvl w:ilvl="6" w:tplc="F21258EC" w:tentative="1">
      <w:start w:val="1"/>
      <w:numFmt w:val="bullet"/>
      <w:lvlText w:val="–"/>
      <w:lvlJc w:val="left"/>
      <w:pPr>
        <w:tabs>
          <w:tab w:val="num" w:pos="5040"/>
        </w:tabs>
        <w:ind w:left="5040" w:hanging="360"/>
      </w:pPr>
      <w:rPr>
        <w:rFonts w:ascii="Arial" w:hAnsi="Arial" w:hint="default"/>
      </w:rPr>
    </w:lvl>
    <w:lvl w:ilvl="7" w:tplc="AA4CC6BA" w:tentative="1">
      <w:start w:val="1"/>
      <w:numFmt w:val="bullet"/>
      <w:lvlText w:val="–"/>
      <w:lvlJc w:val="left"/>
      <w:pPr>
        <w:tabs>
          <w:tab w:val="num" w:pos="5760"/>
        </w:tabs>
        <w:ind w:left="5760" w:hanging="360"/>
      </w:pPr>
      <w:rPr>
        <w:rFonts w:ascii="Arial" w:hAnsi="Arial" w:hint="default"/>
      </w:rPr>
    </w:lvl>
    <w:lvl w:ilvl="8" w:tplc="7A8E132C"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1"/>
  </w:num>
  <w:num w:numId="3">
    <w:abstractNumId w:val="12"/>
  </w:num>
  <w:num w:numId="4">
    <w:abstractNumId w:val="14"/>
  </w:num>
  <w:num w:numId="5">
    <w:abstractNumId w:val="6"/>
  </w:num>
  <w:num w:numId="6">
    <w:abstractNumId w:val="7"/>
  </w:num>
  <w:num w:numId="7">
    <w:abstractNumId w:val="1"/>
  </w:num>
  <w:num w:numId="8">
    <w:abstractNumId w:val="10"/>
  </w:num>
  <w:num w:numId="9">
    <w:abstractNumId w:val="13"/>
  </w:num>
  <w:num w:numId="10">
    <w:abstractNumId w:val="0"/>
  </w:num>
  <w:num w:numId="11">
    <w:abstractNumId w:val="4"/>
  </w:num>
  <w:num w:numId="12">
    <w:abstractNumId w:val="2"/>
  </w:num>
  <w:num w:numId="13">
    <w:abstractNumId w:val="5"/>
  </w:num>
  <w:num w:numId="14">
    <w:abstractNumId w:val="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53DA1"/>
    <w:rsid w:val="00021CEF"/>
    <w:rsid w:val="00026854"/>
    <w:rsid w:val="00030A75"/>
    <w:rsid w:val="000325E3"/>
    <w:rsid w:val="000459AD"/>
    <w:rsid w:val="00072262"/>
    <w:rsid w:val="000875F5"/>
    <w:rsid w:val="000879C9"/>
    <w:rsid w:val="000A256F"/>
    <w:rsid w:val="000B3129"/>
    <w:rsid w:val="000C22FF"/>
    <w:rsid w:val="000C2319"/>
    <w:rsid w:val="000C7CC1"/>
    <w:rsid w:val="00100C57"/>
    <w:rsid w:val="00104717"/>
    <w:rsid w:val="00130C89"/>
    <w:rsid w:val="00141717"/>
    <w:rsid w:val="001617C9"/>
    <w:rsid w:val="00171106"/>
    <w:rsid w:val="001A3277"/>
    <w:rsid w:val="001D4321"/>
    <w:rsid w:val="001D5A14"/>
    <w:rsid w:val="001E1DF2"/>
    <w:rsid w:val="00200622"/>
    <w:rsid w:val="00231DD2"/>
    <w:rsid w:val="002371CB"/>
    <w:rsid w:val="00261F2E"/>
    <w:rsid w:val="00270ED5"/>
    <w:rsid w:val="002A6422"/>
    <w:rsid w:val="002B207F"/>
    <w:rsid w:val="002B7EA8"/>
    <w:rsid w:val="002C7DE1"/>
    <w:rsid w:val="002D4AFE"/>
    <w:rsid w:val="002F5F83"/>
    <w:rsid w:val="002F6ADF"/>
    <w:rsid w:val="00301A7E"/>
    <w:rsid w:val="00303838"/>
    <w:rsid w:val="00311BF6"/>
    <w:rsid w:val="00327E3E"/>
    <w:rsid w:val="00353DA1"/>
    <w:rsid w:val="00362CD4"/>
    <w:rsid w:val="0036432F"/>
    <w:rsid w:val="00397417"/>
    <w:rsid w:val="003A6CD2"/>
    <w:rsid w:val="003E3EA5"/>
    <w:rsid w:val="003E6E04"/>
    <w:rsid w:val="003E71DA"/>
    <w:rsid w:val="003F4E87"/>
    <w:rsid w:val="00402F18"/>
    <w:rsid w:val="00423AD0"/>
    <w:rsid w:val="00430295"/>
    <w:rsid w:val="00434FE9"/>
    <w:rsid w:val="004E0E2E"/>
    <w:rsid w:val="005015AE"/>
    <w:rsid w:val="00522FC1"/>
    <w:rsid w:val="00525005"/>
    <w:rsid w:val="00537B54"/>
    <w:rsid w:val="00552E96"/>
    <w:rsid w:val="00560770"/>
    <w:rsid w:val="005700DA"/>
    <w:rsid w:val="00593B18"/>
    <w:rsid w:val="005B607B"/>
    <w:rsid w:val="00660A7E"/>
    <w:rsid w:val="00661D63"/>
    <w:rsid w:val="0066451B"/>
    <w:rsid w:val="006650EA"/>
    <w:rsid w:val="0068570C"/>
    <w:rsid w:val="006B42F1"/>
    <w:rsid w:val="006B65A0"/>
    <w:rsid w:val="006B741C"/>
    <w:rsid w:val="006E0404"/>
    <w:rsid w:val="006F52DC"/>
    <w:rsid w:val="00724EC8"/>
    <w:rsid w:val="0072762F"/>
    <w:rsid w:val="00743FA3"/>
    <w:rsid w:val="00745F97"/>
    <w:rsid w:val="0076369A"/>
    <w:rsid w:val="00790628"/>
    <w:rsid w:val="007B3646"/>
    <w:rsid w:val="007B7BFB"/>
    <w:rsid w:val="007B7E0D"/>
    <w:rsid w:val="007D6382"/>
    <w:rsid w:val="007E2C0B"/>
    <w:rsid w:val="008203CD"/>
    <w:rsid w:val="008234BA"/>
    <w:rsid w:val="008368BF"/>
    <w:rsid w:val="00853123"/>
    <w:rsid w:val="008627FB"/>
    <w:rsid w:val="00872C79"/>
    <w:rsid w:val="0087677E"/>
    <w:rsid w:val="00883462"/>
    <w:rsid w:val="008C5606"/>
    <w:rsid w:val="008C569E"/>
    <w:rsid w:val="008D7865"/>
    <w:rsid w:val="008E1CCD"/>
    <w:rsid w:val="008E337B"/>
    <w:rsid w:val="008E3CC0"/>
    <w:rsid w:val="008F0E25"/>
    <w:rsid w:val="008F3697"/>
    <w:rsid w:val="00915BFE"/>
    <w:rsid w:val="0094427E"/>
    <w:rsid w:val="00965F66"/>
    <w:rsid w:val="00980277"/>
    <w:rsid w:val="00984DCD"/>
    <w:rsid w:val="00986BB7"/>
    <w:rsid w:val="009943D3"/>
    <w:rsid w:val="00994FDD"/>
    <w:rsid w:val="0099780A"/>
    <w:rsid w:val="009A52DB"/>
    <w:rsid w:val="009B5E02"/>
    <w:rsid w:val="009C0129"/>
    <w:rsid w:val="00A02F4A"/>
    <w:rsid w:val="00A14781"/>
    <w:rsid w:val="00A16B83"/>
    <w:rsid w:val="00A173CF"/>
    <w:rsid w:val="00A22076"/>
    <w:rsid w:val="00A50581"/>
    <w:rsid w:val="00A6134A"/>
    <w:rsid w:val="00A85D47"/>
    <w:rsid w:val="00AA54B5"/>
    <w:rsid w:val="00AB1BB3"/>
    <w:rsid w:val="00AB25C1"/>
    <w:rsid w:val="00AC1E80"/>
    <w:rsid w:val="00AF17F5"/>
    <w:rsid w:val="00AF2858"/>
    <w:rsid w:val="00B03AD2"/>
    <w:rsid w:val="00B17C08"/>
    <w:rsid w:val="00B20DBB"/>
    <w:rsid w:val="00B2104E"/>
    <w:rsid w:val="00B51CE6"/>
    <w:rsid w:val="00B6269F"/>
    <w:rsid w:val="00B93AE9"/>
    <w:rsid w:val="00BD07AE"/>
    <w:rsid w:val="00BD0841"/>
    <w:rsid w:val="00BF4583"/>
    <w:rsid w:val="00C31A65"/>
    <w:rsid w:val="00C36026"/>
    <w:rsid w:val="00C62939"/>
    <w:rsid w:val="00C92C25"/>
    <w:rsid w:val="00CA67E6"/>
    <w:rsid w:val="00CA74F8"/>
    <w:rsid w:val="00CB5586"/>
    <w:rsid w:val="00CD746A"/>
    <w:rsid w:val="00D146BA"/>
    <w:rsid w:val="00D228D3"/>
    <w:rsid w:val="00D31B74"/>
    <w:rsid w:val="00DA1B08"/>
    <w:rsid w:val="00DD46D7"/>
    <w:rsid w:val="00DF2EA2"/>
    <w:rsid w:val="00E0799F"/>
    <w:rsid w:val="00E22D3C"/>
    <w:rsid w:val="00E308FC"/>
    <w:rsid w:val="00EA6D6F"/>
    <w:rsid w:val="00EB1979"/>
    <w:rsid w:val="00EE4A5F"/>
    <w:rsid w:val="00EF167D"/>
    <w:rsid w:val="00F03F1E"/>
    <w:rsid w:val="00F04A45"/>
    <w:rsid w:val="00F22121"/>
    <w:rsid w:val="00F25682"/>
    <w:rsid w:val="00F27461"/>
    <w:rsid w:val="00F3445A"/>
    <w:rsid w:val="00F372B0"/>
    <w:rsid w:val="00F52489"/>
    <w:rsid w:val="00F55392"/>
    <w:rsid w:val="00F5546F"/>
    <w:rsid w:val="00F70302"/>
    <w:rsid w:val="00F84043"/>
    <w:rsid w:val="00F9103C"/>
    <w:rsid w:val="00F9793D"/>
    <w:rsid w:val="00FA3A8D"/>
    <w:rsid w:val="00FC1244"/>
    <w:rsid w:val="00FD0D0C"/>
    <w:rsid w:val="00FE498F"/>
    <w:rsid w:val="00FE76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02"/>
  </w:style>
  <w:style w:type="paragraph" w:styleId="Heading1">
    <w:name w:val="heading 1"/>
    <w:basedOn w:val="Normal"/>
    <w:next w:val="Normal"/>
    <w:link w:val="Heading1Char"/>
    <w:uiPriority w:val="9"/>
    <w:qFormat/>
    <w:rsid w:val="00B93A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DA1"/>
    <w:rPr>
      <w:rFonts w:ascii="Tahoma" w:hAnsi="Tahoma" w:cs="Tahoma"/>
      <w:sz w:val="16"/>
      <w:szCs w:val="16"/>
    </w:rPr>
  </w:style>
  <w:style w:type="character" w:customStyle="1" w:styleId="BalloonTextChar">
    <w:name w:val="Balloon Text Char"/>
    <w:basedOn w:val="DefaultParagraphFont"/>
    <w:link w:val="BalloonText"/>
    <w:uiPriority w:val="99"/>
    <w:semiHidden/>
    <w:rsid w:val="00353DA1"/>
    <w:rPr>
      <w:rFonts w:ascii="Tahoma" w:hAnsi="Tahoma" w:cs="Tahoma"/>
      <w:sz w:val="16"/>
      <w:szCs w:val="16"/>
    </w:rPr>
  </w:style>
  <w:style w:type="character" w:styleId="Hyperlink">
    <w:name w:val="Hyperlink"/>
    <w:basedOn w:val="DefaultParagraphFont"/>
    <w:uiPriority w:val="99"/>
    <w:unhideWhenUsed/>
    <w:rsid w:val="00FD0D0C"/>
    <w:rPr>
      <w:color w:val="0000FF" w:themeColor="hyperlink"/>
      <w:u w:val="single"/>
    </w:rPr>
  </w:style>
  <w:style w:type="table" w:styleId="TableGrid">
    <w:name w:val="Table Grid"/>
    <w:basedOn w:val="TableNormal"/>
    <w:uiPriority w:val="59"/>
    <w:rsid w:val="00CA74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93AE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E7615"/>
    <w:pPr>
      <w:ind w:left="720"/>
      <w:contextualSpacing/>
    </w:pPr>
  </w:style>
  <w:style w:type="character" w:styleId="Strong">
    <w:name w:val="Strong"/>
    <w:basedOn w:val="DefaultParagraphFont"/>
    <w:uiPriority w:val="22"/>
    <w:qFormat/>
    <w:rsid w:val="002A6422"/>
    <w:rPr>
      <w:b/>
      <w:bCs/>
    </w:rPr>
  </w:style>
  <w:style w:type="paragraph" w:styleId="Header">
    <w:name w:val="header"/>
    <w:basedOn w:val="Normal"/>
    <w:link w:val="HeaderChar"/>
    <w:uiPriority w:val="99"/>
    <w:unhideWhenUsed/>
    <w:rsid w:val="00CA67E6"/>
    <w:pPr>
      <w:tabs>
        <w:tab w:val="center" w:pos="4680"/>
        <w:tab w:val="right" w:pos="9360"/>
      </w:tabs>
    </w:pPr>
  </w:style>
  <w:style w:type="character" w:customStyle="1" w:styleId="HeaderChar">
    <w:name w:val="Header Char"/>
    <w:basedOn w:val="DefaultParagraphFont"/>
    <w:link w:val="Header"/>
    <w:uiPriority w:val="99"/>
    <w:rsid w:val="00CA67E6"/>
  </w:style>
  <w:style w:type="paragraph" w:styleId="Footer">
    <w:name w:val="footer"/>
    <w:basedOn w:val="Normal"/>
    <w:link w:val="FooterChar"/>
    <w:uiPriority w:val="99"/>
    <w:semiHidden/>
    <w:unhideWhenUsed/>
    <w:rsid w:val="00CA67E6"/>
    <w:pPr>
      <w:tabs>
        <w:tab w:val="center" w:pos="4680"/>
        <w:tab w:val="right" w:pos="9360"/>
      </w:tabs>
    </w:pPr>
  </w:style>
  <w:style w:type="character" w:customStyle="1" w:styleId="FooterChar">
    <w:name w:val="Footer Char"/>
    <w:basedOn w:val="DefaultParagraphFont"/>
    <w:link w:val="Footer"/>
    <w:uiPriority w:val="99"/>
    <w:semiHidden/>
    <w:rsid w:val="00CA67E6"/>
  </w:style>
  <w:style w:type="character" w:customStyle="1" w:styleId="articlecopy">
    <w:name w:val="articlecopy"/>
    <w:basedOn w:val="DefaultParagraphFont"/>
    <w:rsid w:val="00CA67E6"/>
  </w:style>
  <w:style w:type="character" w:customStyle="1" w:styleId="Style11pt">
    <w:name w:val="Style 11 pt"/>
    <w:basedOn w:val="DefaultParagraphFont"/>
    <w:rsid w:val="007B7E0D"/>
    <w:rPr>
      <w:rFonts w:cs="Times New Roman"/>
      <w:sz w:val="20"/>
    </w:rPr>
  </w:style>
  <w:style w:type="character" w:styleId="FollowedHyperlink">
    <w:name w:val="FollowedHyperlink"/>
    <w:basedOn w:val="DefaultParagraphFont"/>
    <w:uiPriority w:val="99"/>
    <w:semiHidden/>
    <w:unhideWhenUsed/>
    <w:rsid w:val="007B7E0D"/>
    <w:rPr>
      <w:color w:val="800080" w:themeColor="followedHyperlink"/>
      <w:u w:val="single"/>
    </w:rPr>
  </w:style>
  <w:style w:type="paragraph" w:styleId="FootnoteText">
    <w:name w:val="footnote text"/>
    <w:basedOn w:val="Normal"/>
    <w:link w:val="FootnoteTextChar"/>
    <w:uiPriority w:val="99"/>
    <w:semiHidden/>
    <w:unhideWhenUsed/>
    <w:rsid w:val="00327E3E"/>
    <w:rPr>
      <w:sz w:val="20"/>
      <w:szCs w:val="20"/>
    </w:rPr>
  </w:style>
  <w:style w:type="character" w:customStyle="1" w:styleId="FootnoteTextChar">
    <w:name w:val="Footnote Text Char"/>
    <w:basedOn w:val="DefaultParagraphFont"/>
    <w:link w:val="FootnoteText"/>
    <w:uiPriority w:val="99"/>
    <w:semiHidden/>
    <w:rsid w:val="00327E3E"/>
    <w:rPr>
      <w:sz w:val="20"/>
      <w:szCs w:val="20"/>
    </w:rPr>
  </w:style>
  <w:style w:type="character" w:styleId="FootnoteReference">
    <w:name w:val="footnote reference"/>
    <w:basedOn w:val="DefaultParagraphFont"/>
    <w:uiPriority w:val="99"/>
    <w:semiHidden/>
    <w:unhideWhenUsed/>
    <w:rsid w:val="00327E3E"/>
    <w:rPr>
      <w:vertAlign w:val="superscript"/>
    </w:rPr>
  </w:style>
</w:styles>
</file>

<file path=word/webSettings.xml><?xml version="1.0" encoding="utf-8"?>
<w:webSettings xmlns:r="http://schemas.openxmlformats.org/officeDocument/2006/relationships" xmlns:w="http://schemas.openxmlformats.org/wordprocessingml/2006/main">
  <w:divs>
    <w:div w:id="52311174">
      <w:bodyDiv w:val="1"/>
      <w:marLeft w:val="0"/>
      <w:marRight w:val="0"/>
      <w:marTop w:val="0"/>
      <w:marBottom w:val="0"/>
      <w:divBdr>
        <w:top w:val="none" w:sz="0" w:space="0" w:color="auto"/>
        <w:left w:val="none" w:sz="0" w:space="0" w:color="auto"/>
        <w:bottom w:val="none" w:sz="0" w:space="0" w:color="auto"/>
        <w:right w:val="none" w:sz="0" w:space="0" w:color="auto"/>
      </w:divBdr>
    </w:div>
    <w:div w:id="797914503">
      <w:bodyDiv w:val="1"/>
      <w:marLeft w:val="0"/>
      <w:marRight w:val="0"/>
      <w:marTop w:val="0"/>
      <w:marBottom w:val="0"/>
      <w:divBdr>
        <w:top w:val="none" w:sz="0" w:space="0" w:color="auto"/>
        <w:left w:val="none" w:sz="0" w:space="0" w:color="auto"/>
        <w:bottom w:val="none" w:sz="0" w:space="0" w:color="auto"/>
        <w:right w:val="none" w:sz="0" w:space="0" w:color="auto"/>
      </w:divBdr>
    </w:div>
    <w:div w:id="907425769">
      <w:bodyDiv w:val="1"/>
      <w:marLeft w:val="0"/>
      <w:marRight w:val="0"/>
      <w:marTop w:val="0"/>
      <w:marBottom w:val="0"/>
      <w:divBdr>
        <w:top w:val="none" w:sz="0" w:space="0" w:color="auto"/>
        <w:left w:val="none" w:sz="0" w:space="0" w:color="auto"/>
        <w:bottom w:val="none" w:sz="0" w:space="0" w:color="auto"/>
        <w:right w:val="none" w:sz="0" w:space="0" w:color="auto"/>
      </w:divBdr>
      <w:divsChild>
        <w:div w:id="1694454019">
          <w:marLeft w:val="1166"/>
          <w:marRight w:val="0"/>
          <w:marTop w:val="134"/>
          <w:marBottom w:val="0"/>
          <w:divBdr>
            <w:top w:val="none" w:sz="0" w:space="0" w:color="auto"/>
            <w:left w:val="none" w:sz="0" w:space="0" w:color="auto"/>
            <w:bottom w:val="none" w:sz="0" w:space="0" w:color="auto"/>
            <w:right w:val="none" w:sz="0" w:space="0" w:color="auto"/>
          </w:divBdr>
        </w:div>
        <w:div w:id="1759712603">
          <w:marLeft w:val="1166"/>
          <w:marRight w:val="0"/>
          <w:marTop w:val="134"/>
          <w:marBottom w:val="0"/>
          <w:divBdr>
            <w:top w:val="none" w:sz="0" w:space="0" w:color="auto"/>
            <w:left w:val="none" w:sz="0" w:space="0" w:color="auto"/>
            <w:bottom w:val="none" w:sz="0" w:space="0" w:color="auto"/>
            <w:right w:val="none" w:sz="0" w:space="0" w:color="auto"/>
          </w:divBdr>
        </w:div>
        <w:div w:id="742064349">
          <w:marLeft w:val="1166"/>
          <w:marRight w:val="0"/>
          <w:marTop w:val="134"/>
          <w:marBottom w:val="0"/>
          <w:divBdr>
            <w:top w:val="none" w:sz="0" w:space="0" w:color="auto"/>
            <w:left w:val="none" w:sz="0" w:space="0" w:color="auto"/>
            <w:bottom w:val="none" w:sz="0" w:space="0" w:color="auto"/>
            <w:right w:val="none" w:sz="0" w:space="0" w:color="auto"/>
          </w:divBdr>
        </w:div>
      </w:divsChild>
    </w:div>
    <w:div w:id="919481841">
      <w:bodyDiv w:val="1"/>
      <w:marLeft w:val="0"/>
      <w:marRight w:val="0"/>
      <w:marTop w:val="0"/>
      <w:marBottom w:val="0"/>
      <w:divBdr>
        <w:top w:val="none" w:sz="0" w:space="0" w:color="auto"/>
        <w:left w:val="none" w:sz="0" w:space="0" w:color="auto"/>
        <w:bottom w:val="none" w:sz="0" w:space="0" w:color="auto"/>
        <w:right w:val="none" w:sz="0" w:space="0" w:color="auto"/>
      </w:divBdr>
    </w:div>
    <w:div w:id="947737347">
      <w:bodyDiv w:val="1"/>
      <w:marLeft w:val="0"/>
      <w:marRight w:val="0"/>
      <w:marTop w:val="0"/>
      <w:marBottom w:val="0"/>
      <w:divBdr>
        <w:top w:val="none" w:sz="0" w:space="0" w:color="auto"/>
        <w:left w:val="none" w:sz="0" w:space="0" w:color="auto"/>
        <w:bottom w:val="none" w:sz="0" w:space="0" w:color="auto"/>
        <w:right w:val="none" w:sz="0" w:space="0" w:color="auto"/>
      </w:divBdr>
    </w:div>
    <w:div w:id="950356934">
      <w:bodyDiv w:val="1"/>
      <w:marLeft w:val="0"/>
      <w:marRight w:val="0"/>
      <w:marTop w:val="0"/>
      <w:marBottom w:val="0"/>
      <w:divBdr>
        <w:top w:val="none" w:sz="0" w:space="0" w:color="auto"/>
        <w:left w:val="none" w:sz="0" w:space="0" w:color="auto"/>
        <w:bottom w:val="none" w:sz="0" w:space="0" w:color="auto"/>
        <w:right w:val="none" w:sz="0" w:space="0" w:color="auto"/>
      </w:divBdr>
    </w:div>
    <w:div w:id="1000809262">
      <w:bodyDiv w:val="1"/>
      <w:marLeft w:val="0"/>
      <w:marRight w:val="0"/>
      <w:marTop w:val="0"/>
      <w:marBottom w:val="0"/>
      <w:divBdr>
        <w:top w:val="none" w:sz="0" w:space="0" w:color="auto"/>
        <w:left w:val="none" w:sz="0" w:space="0" w:color="auto"/>
        <w:bottom w:val="none" w:sz="0" w:space="0" w:color="auto"/>
        <w:right w:val="none" w:sz="0" w:space="0" w:color="auto"/>
      </w:divBdr>
    </w:div>
    <w:div w:id="1180002044">
      <w:bodyDiv w:val="1"/>
      <w:marLeft w:val="0"/>
      <w:marRight w:val="0"/>
      <w:marTop w:val="0"/>
      <w:marBottom w:val="0"/>
      <w:divBdr>
        <w:top w:val="none" w:sz="0" w:space="0" w:color="auto"/>
        <w:left w:val="none" w:sz="0" w:space="0" w:color="auto"/>
        <w:bottom w:val="none" w:sz="0" w:space="0" w:color="auto"/>
        <w:right w:val="none" w:sz="0" w:space="0" w:color="auto"/>
      </w:divBdr>
    </w:div>
    <w:div w:id="1303844944">
      <w:bodyDiv w:val="1"/>
      <w:marLeft w:val="0"/>
      <w:marRight w:val="0"/>
      <w:marTop w:val="0"/>
      <w:marBottom w:val="0"/>
      <w:divBdr>
        <w:top w:val="none" w:sz="0" w:space="0" w:color="auto"/>
        <w:left w:val="none" w:sz="0" w:space="0" w:color="auto"/>
        <w:bottom w:val="none" w:sz="0" w:space="0" w:color="auto"/>
        <w:right w:val="none" w:sz="0" w:space="0" w:color="auto"/>
      </w:divBdr>
    </w:div>
    <w:div w:id="1316185010">
      <w:bodyDiv w:val="1"/>
      <w:marLeft w:val="0"/>
      <w:marRight w:val="0"/>
      <w:marTop w:val="0"/>
      <w:marBottom w:val="0"/>
      <w:divBdr>
        <w:top w:val="none" w:sz="0" w:space="0" w:color="auto"/>
        <w:left w:val="none" w:sz="0" w:space="0" w:color="auto"/>
        <w:bottom w:val="none" w:sz="0" w:space="0" w:color="auto"/>
        <w:right w:val="none" w:sz="0" w:space="0" w:color="auto"/>
      </w:divBdr>
      <w:divsChild>
        <w:div w:id="32928909">
          <w:marLeft w:val="547"/>
          <w:marRight w:val="0"/>
          <w:marTop w:val="154"/>
          <w:marBottom w:val="0"/>
          <w:divBdr>
            <w:top w:val="none" w:sz="0" w:space="0" w:color="auto"/>
            <w:left w:val="none" w:sz="0" w:space="0" w:color="auto"/>
            <w:bottom w:val="none" w:sz="0" w:space="0" w:color="auto"/>
            <w:right w:val="none" w:sz="0" w:space="0" w:color="auto"/>
          </w:divBdr>
        </w:div>
        <w:div w:id="2115246204">
          <w:marLeft w:val="547"/>
          <w:marRight w:val="0"/>
          <w:marTop w:val="154"/>
          <w:marBottom w:val="0"/>
          <w:divBdr>
            <w:top w:val="none" w:sz="0" w:space="0" w:color="auto"/>
            <w:left w:val="none" w:sz="0" w:space="0" w:color="auto"/>
            <w:bottom w:val="none" w:sz="0" w:space="0" w:color="auto"/>
            <w:right w:val="none" w:sz="0" w:space="0" w:color="auto"/>
          </w:divBdr>
        </w:div>
      </w:divsChild>
    </w:div>
    <w:div w:id="2044359816">
      <w:bodyDiv w:val="1"/>
      <w:marLeft w:val="0"/>
      <w:marRight w:val="0"/>
      <w:marTop w:val="0"/>
      <w:marBottom w:val="0"/>
      <w:divBdr>
        <w:top w:val="none" w:sz="0" w:space="0" w:color="auto"/>
        <w:left w:val="none" w:sz="0" w:space="0" w:color="auto"/>
        <w:bottom w:val="none" w:sz="0" w:space="0" w:color="auto"/>
        <w:right w:val="none" w:sz="0" w:space="0" w:color="auto"/>
      </w:divBdr>
    </w:div>
    <w:div w:id="21397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5.emf"/><Relationship Id="rId39" Type="http://schemas.openxmlformats.org/officeDocument/2006/relationships/hyperlink" Target="excel/fallacies/reverse%20causation%20C3%20F26%20turnout%20corruption.xlsx" TargetMode="External"/><Relationship Id="rId21" Type="http://schemas.openxmlformats.org/officeDocument/2006/relationships/image" Target="media/image11.gif"/><Relationship Id="rId34" Type="http://schemas.openxmlformats.org/officeDocument/2006/relationships/hyperlink" Target="excel/fallacies/reg%20art%20oil%20prices.xlsx" TargetMode="External"/><Relationship Id="rId42" Type="http://schemas.openxmlformats.org/officeDocument/2006/relationships/image" Target="media/image23.emf"/><Relationship Id="rId47" Type="http://schemas.openxmlformats.org/officeDocument/2006/relationships/hyperlink" Target="excel/fallacies/dominant%20denominator.xlsx" TargetMode="External"/><Relationship Id="rId50" Type="http://schemas.openxmlformats.org/officeDocument/2006/relationships/hyperlink" Target="excel/fallacies/wsj%20housing%20rate%20of%20change.xlsx" TargetMode="External"/><Relationship Id="rId55" Type="http://schemas.openxmlformats.org/officeDocument/2006/relationships/hyperlink" Target="excel/WSJ%20expenditures1.xls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gif"/><Relationship Id="rId29" Type="http://schemas.openxmlformats.org/officeDocument/2006/relationships/hyperlink" Target="http://sourceforge.net/projects/sparklinesforxl/" TargetMode="External"/><Relationship Id="rId41" Type="http://schemas.openxmlformats.org/officeDocument/2006/relationships/hyperlink" Target="excel/fallacies/new%20york%20counties.xlsx" TargetMode="External"/><Relationship Id="rId54" Type="http://schemas.openxmlformats.org/officeDocument/2006/relationships/chart" Target="charts/chart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hyperlink" Target="excel/fallacies/tuition%206.xlsx" TargetMode="External"/><Relationship Id="rId53" Type="http://schemas.openxmlformats.org/officeDocument/2006/relationships/image" Target="media/image29.emf"/><Relationship Id="rId58"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peltiertech.com/Excel/Charts/BoxWhisker.html" TargetMode="External"/><Relationship Id="rId36" Type="http://schemas.openxmlformats.org/officeDocument/2006/relationships/hyperlink" Target="excel/fallacies/instrumentationc1%20f5%20fbi%20ncvs%20crime%20rates.xlsx" TargetMode="External"/><Relationship Id="rId49" Type="http://schemas.openxmlformats.org/officeDocument/2006/relationships/hyperlink" Target="http://online.wsj.com/article/SB124214925172111415.html" TargetMode="External"/><Relationship Id="rId57" Type="http://schemas.openxmlformats.org/officeDocument/2006/relationships/chart" Target="charts/chart6.xml"/><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yperlink" Target="excel/fallacies/cherry%20picking%20tufte.xlsx" TargetMode="External"/><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12.png"/><Relationship Id="rId27" Type="http://schemas.openxmlformats.org/officeDocument/2006/relationships/hyperlink" Target="http://spreadsheetpage.com/index.php/pupv7/" TargetMode="External"/><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hyperlink" Target="excel/fallacies/the%20trend%20is%20not%20your%20friend1.xlsx" TargetMode="External"/><Relationship Id="rId48" Type="http://schemas.openxmlformats.org/officeDocument/2006/relationships/image" Target="media/image26.emf"/><Relationship Id="rId56" Type="http://schemas.openxmlformats.org/officeDocument/2006/relationships/image" Target="media/image30.gif"/><Relationship Id="rId8" Type="http://schemas.openxmlformats.org/officeDocument/2006/relationships/image" Target="media/image1.emf"/><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gmklass\My%20Documents\DOCS\asa\crime\excel\robbery%2010%20lrgs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gmklass\My%20Documents\DOCS\asa\crime\excel\fallacies\new%20york%20counti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gmklass\My%20Documents\DOCS\pos138\midterm\figure%204.3%20four%20Measures%20of%20Voter%20Turnou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gmklass\My%20Documents\DOCS\asa\crime\excel\WSJ%20expenditures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gmklass\My%20Documents\DOCS\asa\crime\excel\WSJ%20expenditures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gmklass\My%20Documents\DOCS\asa\crime\excel\WSJ%20expenditure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manualLayout>
          <c:layoutTarget val="inner"/>
          <c:xMode val="edge"/>
          <c:yMode val="edge"/>
          <c:x val="5.4870103042675394E-2"/>
          <c:y val="0.17779555382432463"/>
          <c:w val="0.94387613006707494"/>
          <c:h val="0.60532214833569831"/>
        </c:manualLayout>
      </c:layout>
      <c:barChart>
        <c:barDir val="col"/>
        <c:grouping val="clustered"/>
        <c:ser>
          <c:idx val="0"/>
          <c:order val="0"/>
          <c:tx>
            <c:strRef>
              <c:f>'bars small'!$C$5</c:f>
              <c:strCache>
                <c:ptCount val="1"/>
                <c:pt idx="0">
                  <c:v>1985</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small'!$C$6:$C$15</c:f>
              <c:numCache>
                <c:formatCode>0</c:formatCode>
                <c:ptCount val="10"/>
                <c:pt idx="0">
                  <c:v>1107.0999999999999</c:v>
                </c:pt>
                <c:pt idx="1">
                  <c:v>896.7</c:v>
                </c:pt>
                <c:pt idx="2">
                  <c:v>876.8</c:v>
                </c:pt>
                <c:pt idx="3">
                  <c:v>606.6</c:v>
                </c:pt>
                <c:pt idx="4">
                  <c:v>572</c:v>
                </c:pt>
                <c:pt idx="5">
                  <c:v>549.1</c:v>
                </c:pt>
                <c:pt idx="6">
                  <c:v>310.89999999999969</c:v>
                </c:pt>
                <c:pt idx="7">
                  <c:v>309.8</c:v>
                </c:pt>
                <c:pt idx="8">
                  <c:v>272.2</c:v>
                </c:pt>
              </c:numCache>
            </c:numRef>
          </c:val>
        </c:ser>
        <c:ser>
          <c:idx val="1"/>
          <c:order val="1"/>
          <c:tx>
            <c:strRef>
              <c:f>'bars small'!$D$5</c:f>
              <c:strCache>
                <c:ptCount val="1"/>
                <c:pt idx="0">
                  <c:v>1986</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small'!$D$6:$D$15</c:f>
              <c:numCache>
                <c:formatCode>0</c:formatCode>
                <c:ptCount val="10"/>
                <c:pt idx="0">
                  <c:v>1125.8</c:v>
                </c:pt>
                <c:pt idx="1">
                  <c:v>1029.5</c:v>
                </c:pt>
                <c:pt idx="2">
                  <c:v>917.9</c:v>
                </c:pt>
                <c:pt idx="3">
                  <c:v>913.8</c:v>
                </c:pt>
                <c:pt idx="4">
                  <c:v>586.4</c:v>
                </c:pt>
                <c:pt idx="5">
                  <c:v>613.9</c:v>
                </c:pt>
                <c:pt idx="6">
                  <c:v>371</c:v>
                </c:pt>
                <c:pt idx="7">
                  <c:v>394</c:v>
                </c:pt>
                <c:pt idx="8">
                  <c:v>320.60000000000002</c:v>
                </c:pt>
              </c:numCache>
            </c:numRef>
          </c:val>
        </c:ser>
        <c:ser>
          <c:idx val="2"/>
          <c:order val="2"/>
          <c:tx>
            <c:strRef>
              <c:f>'bars small'!$E$5</c:f>
              <c:strCache>
                <c:ptCount val="1"/>
                <c:pt idx="0">
                  <c:v>1987</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small'!$E$6:$E$15</c:f>
              <c:numCache>
                <c:formatCode>0</c:formatCode>
                <c:ptCount val="10"/>
                <c:pt idx="0">
                  <c:v>1083</c:v>
                </c:pt>
                <c:pt idx="1">
                  <c:v>987.8</c:v>
                </c:pt>
                <c:pt idx="2">
                  <c:v>783.8</c:v>
                </c:pt>
                <c:pt idx="3">
                  <c:v>900.1</c:v>
                </c:pt>
                <c:pt idx="4">
                  <c:v>564</c:v>
                </c:pt>
                <c:pt idx="5">
                  <c:v>557</c:v>
                </c:pt>
                <c:pt idx="6">
                  <c:v>353.5</c:v>
                </c:pt>
                <c:pt idx="7">
                  <c:v>331.7</c:v>
                </c:pt>
                <c:pt idx="8">
                  <c:v>245.1</c:v>
                </c:pt>
              </c:numCache>
            </c:numRef>
          </c:val>
        </c:ser>
        <c:ser>
          <c:idx val="3"/>
          <c:order val="3"/>
          <c:tx>
            <c:strRef>
              <c:f>'bars small'!$F$5</c:f>
              <c:strCache>
                <c:ptCount val="1"/>
                <c:pt idx="0">
                  <c:v>1988</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small'!$F$6:$F$15</c:f>
              <c:numCache>
                <c:formatCode>0</c:formatCode>
                <c:ptCount val="10"/>
                <c:pt idx="0">
                  <c:v>1178.5</c:v>
                </c:pt>
                <c:pt idx="1">
                  <c:v>967.7</c:v>
                </c:pt>
                <c:pt idx="2">
                  <c:v>769.5</c:v>
                </c:pt>
                <c:pt idx="3">
                  <c:v>947.8</c:v>
                </c:pt>
                <c:pt idx="4">
                  <c:v>534.5</c:v>
                </c:pt>
                <c:pt idx="5">
                  <c:v>582.4</c:v>
                </c:pt>
                <c:pt idx="6">
                  <c:v>305.5</c:v>
                </c:pt>
                <c:pt idx="7">
                  <c:v>298.5</c:v>
                </c:pt>
                <c:pt idx="8">
                  <c:v>264.60000000000002</c:v>
                </c:pt>
              </c:numCache>
            </c:numRef>
          </c:val>
        </c:ser>
        <c:ser>
          <c:idx val="4"/>
          <c:order val="4"/>
          <c:tx>
            <c:strRef>
              <c:f>'bars small'!$G$5</c:f>
              <c:strCache>
                <c:ptCount val="1"/>
                <c:pt idx="0">
                  <c:v>1989</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small'!$G$6:$G$15</c:f>
              <c:numCache>
                <c:formatCode>0</c:formatCode>
                <c:ptCount val="10"/>
                <c:pt idx="0">
                  <c:v>1267.0999999999999</c:v>
                </c:pt>
                <c:pt idx="1">
                  <c:v>1057.0999999999999</c:v>
                </c:pt>
                <c:pt idx="2">
                  <c:v>902.6</c:v>
                </c:pt>
                <c:pt idx="3">
                  <c:v>947.7</c:v>
                </c:pt>
                <c:pt idx="4">
                  <c:v>619.4</c:v>
                </c:pt>
                <c:pt idx="5">
                  <c:v>573.1</c:v>
                </c:pt>
                <c:pt idx="6">
                  <c:v>285.39999999999969</c:v>
                </c:pt>
                <c:pt idx="7">
                  <c:v>326.3</c:v>
                </c:pt>
                <c:pt idx="8">
                  <c:v>277.60000000000002</c:v>
                </c:pt>
              </c:numCache>
            </c:numRef>
          </c:val>
        </c:ser>
        <c:ser>
          <c:idx val="5"/>
          <c:order val="5"/>
          <c:tx>
            <c:strRef>
              <c:f>'bars small'!$H$5</c:f>
              <c:strCache>
                <c:ptCount val="1"/>
                <c:pt idx="0">
                  <c:v>1990</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small'!$H$6:$H$15</c:f>
              <c:numCache>
                <c:formatCode>0</c:formatCode>
                <c:ptCount val="10"/>
                <c:pt idx="0">
                  <c:v>1369.5</c:v>
                </c:pt>
                <c:pt idx="1">
                  <c:v>1334.8</c:v>
                </c:pt>
                <c:pt idx="2">
                  <c:v>1035.7</c:v>
                </c:pt>
                <c:pt idx="3">
                  <c:v>1049.3</c:v>
                </c:pt>
                <c:pt idx="4">
                  <c:v>807.7</c:v>
                </c:pt>
                <c:pt idx="5">
                  <c:v>792.4</c:v>
                </c:pt>
                <c:pt idx="6">
                  <c:v>306</c:v>
                </c:pt>
                <c:pt idx="7">
                  <c:v>390</c:v>
                </c:pt>
                <c:pt idx="8">
                  <c:v>344</c:v>
                </c:pt>
              </c:numCache>
            </c:numRef>
          </c:val>
        </c:ser>
        <c:ser>
          <c:idx val="6"/>
          <c:order val="6"/>
          <c:tx>
            <c:strRef>
              <c:f>'bars small'!$I$5</c:f>
              <c:strCache>
                <c:ptCount val="1"/>
                <c:pt idx="0">
                  <c:v>1991</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small'!$I$6:$I$15</c:f>
              <c:numCache>
                <c:formatCode>0</c:formatCode>
                <c:ptCount val="10"/>
                <c:pt idx="0">
                  <c:v>1340.3</c:v>
                </c:pt>
                <c:pt idx="1">
                  <c:v>1557.3</c:v>
                </c:pt>
                <c:pt idx="2">
                  <c:v>1117.9000000000001</c:v>
                </c:pt>
                <c:pt idx="3">
                  <c:v>1094.4000000000001</c:v>
                </c:pt>
                <c:pt idx="4">
                  <c:v>871.9</c:v>
                </c:pt>
                <c:pt idx="5">
                  <c:v>833.4</c:v>
                </c:pt>
                <c:pt idx="6">
                  <c:v>395.2</c:v>
                </c:pt>
                <c:pt idx="7">
                  <c:v>470.2</c:v>
                </c:pt>
                <c:pt idx="8">
                  <c:v>346.2</c:v>
                </c:pt>
              </c:numCache>
            </c:numRef>
          </c:val>
        </c:ser>
        <c:ser>
          <c:idx val="7"/>
          <c:order val="7"/>
          <c:tx>
            <c:strRef>
              <c:f>'bars small'!$J$5</c:f>
              <c:strCache>
                <c:ptCount val="1"/>
                <c:pt idx="0">
                  <c:v>1992</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small'!$J$6:$J$15</c:f>
              <c:numCache>
                <c:formatCode>0</c:formatCode>
                <c:ptCount val="10"/>
                <c:pt idx="0">
                  <c:v>1237.0999999999999</c:v>
                </c:pt>
                <c:pt idx="1">
                  <c:v>1357.2</c:v>
                </c:pt>
                <c:pt idx="2">
                  <c:v>1092.8</c:v>
                </c:pt>
                <c:pt idx="3">
                  <c:v>910.8</c:v>
                </c:pt>
                <c:pt idx="4">
                  <c:v>728.4</c:v>
                </c:pt>
                <c:pt idx="5">
                  <c:v>656.5</c:v>
                </c:pt>
                <c:pt idx="6">
                  <c:v>358.2</c:v>
                </c:pt>
                <c:pt idx="7">
                  <c:v>462</c:v>
                </c:pt>
                <c:pt idx="8">
                  <c:v>314</c:v>
                </c:pt>
              </c:numCache>
            </c:numRef>
          </c:val>
        </c:ser>
        <c:ser>
          <c:idx val="8"/>
          <c:order val="8"/>
          <c:tx>
            <c:strRef>
              <c:f>'bars small'!$K$5</c:f>
              <c:strCache>
                <c:ptCount val="1"/>
                <c:pt idx="0">
                  <c:v>1993</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small'!$K$6:$K$15</c:f>
              <c:numCache>
                <c:formatCode>0</c:formatCode>
                <c:ptCount val="10"/>
                <c:pt idx="0">
                  <c:v>1170.5</c:v>
                </c:pt>
                <c:pt idx="1">
                  <c:v>1261.7</c:v>
                </c:pt>
                <c:pt idx="2">
                  <c:v>1089.7</c:v>
                </c:pt>
                <c:pt idx="3">
                  <c:v>711.7</c:v>
                </c:pt>
                <c:pt idx="4">
                  <c:v>739.4</c:v>
                </c:pt>
                <c:pt idx="5">
                  <c:v>624.70000000000005</c:v>
                </c:pt>
                <c:pt idx="6">
                  <c:v>302.3</c:v>
                </c:pt>
                <c:pt idx="7">
                  <c:v>400.7</c:v>
                </c:pt>
                <c:pt idx="8">
                  <c:v>330.7</c:v>
                </c:pt>
              </c:numCache>
            </c:numRef>
          </c:val>
        </c:ser>
        <c:ser>
          <c:idx val="9"/>
          <c:order val="9"/>
          <c:tx>
            <c:strRef>
              <c:f>'bars small'!$L$5</c:f>
              <c:strCache>
                <c:ptCount val="1"/>
                <c:pt idx="0">
                  <c:v>1994</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small'!$L$6:$L$15</c:f>
              <c:numCache>
                <c:formatCode>0</c:formatCode>
                <c:ptCount val="10"/>
                <c:pt idx="0">
                  <c:v>988.8</c:v>
                </c:pt>
                <c:pt idx="1">
                  <c:v>1210.5</c:v>
                </c:pt>
                <c:pt idx="2">
                  <c:v>868</c:v>
                </c:pt>
                <c:pt idx="3">
                  <c:v>666</c:v>
                </c:pt>
                <c:pt idx="4">
                  <c:v>814.2</c:v>
                </c:pt>
                <c:pt idx="5">
                  <c:v>567.70000000000005</c:v>
                </c:pt>
                <c:pt idx="6">
                  <c:v>278.10000000000002</c:v>
                </c:pt>
                <c:pt idx="7">
                  <c:v>329</c:v>
                </c:pt>
                <c:pt idx="8">
                  <c:v>320.7</c:v>
                </c:pt>
              </c:numCache>
            </c:numRef>
          </c:val>
        </c:ser>
        <c:ser>
          <c:idx val="10"/>
          <c:order val="10"/>
          <c:tx>
            <c:strRef>
              <c:f>'bars small'!$M$5</c:f>
              <c:strCache>
                <c:ptCount val="1"/>
                <c:pt idx="0">
                  <c:v>1995</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small'!$M$6:$M$15</c:f>
              <c:numCache>
                <c:formatCode>0</c:formatCode>
                <c:ptCount val="10"/>
                <c:pt idx="0">
                  <c:v>809.9</c:v>
                </c:pt>
                <c:pt idx="1">
                  <c:v>1094.0999999999999</c:v>
                </c:pt>
                <c:pt idx="2">
                  <c:v>840.5</c:v>
                </c:pt>
                <c:pt idx="3">
                  <c:v>566.1</c:v>
                </c:pt>
                <c:pt idx="4">
                  <c:v>889.8</c:v>
                </c:pt>
                <c:pt idx="5">
                  <c:v>531.70000000000005</c:v>
                </c:pt>
                <c:pt idx="6">
                  <c:v>234.5</c:v>
                </c:pt>
                <c:pt idx="7">
                  <c:v>280.2</c:v>
                </c:pt>
                <c:pt idx="8">
                  <c:v>340.1</c:v>
                </c:pt>
              </c:numCache>
            </c:numRef>
          </c:val>
        </c:ser>
        <c:ser>
          <c:idx val="11"/>
          <c:order val="11"/>
          <c:tx>
            <c:strRef>
              <c:f>'bars small'!$N$5</c:f>
              <c:strCache>
                <c:ptCount val="1"/>
                <c:pt idx="0">
                  <c:v>1996</c:v>
                </c:pt>
              </c:strCache>
            </c:strRef>
          </c:tx>
          <c:spPr>
            <a:solidFill>
              <a:srgbClr val="4F81BD">
                <a:lumMod val="50000"/>
              </a:srgbClr>
            </a:solidFill>
          </c:spPr>
          <c:dLbls>
            <c:dLbl>
              <c:idx val="0"/>
              <c:tx>
                <c:strRef>
                  <c:f>bars!$AC$6</c:f>
                  <c:strCache>
                    <c:ptCount val="1"/>
                    <c:pt idx="0">
                      <c:v>1370
265</c:v>
                    </c:pt>
                  </c:strCache>
                </c:strRef>
              </c:tx>
              <c:spPr>
                <a:ln>
                  <a:noFill/>
                </a:ln>
              </c:spPr>
              <c:txPr>
                <a:bodyPr/>
                <a:lstStyle/>
                <a:p>
                  <a:pPr>
                    <a:defRPr sz="600" b="1" i="0">
                      <a:solidFill>
                        <a:schemeClr val="bg1"/>
                      </a:solidFill>
                      <a:latin typeface="Calibri"/>
                      <a:ea typeface="Calibri"/>
                      <a:cs typeface="Calibri"/>
                    </a:defRPr>
                  </a:pPr>
                  <a:endParaRPr lang="en-US"/>
                </a:p>
              </c:txPr>
              <c:dLblPos val="inBase"/>
              <c:showVal val="1"/>
            </c:dLbl>
            <c:dLbl>
              <c:idx val="1"/>
              <c:tx>
                <c:strRef>
                  <c:f>bars!$AC$7</c:f>
                  <c:strCache>
                    <c:ptCount val="1"/>
                    <c:pt idx="0">
                      <c:v>1557
546</c:v>
                    </c:pt>
                  </c:strCache>
                </c:strRef>
              </c:tx>
              <c:spPr>
                <a:ln>
                  <a:noFill/>
                </a:ln>
              </c:spPr>
              <c:txPr>
                <a:bodyPr/>
                <a:lstStyle/>
                <a:p>
                  <a:pPr>
                    <a:defRPr sz="600" b="1" i="0">
                      <a:solidFill>
                        <a:schemeClr val="bg1"/>
                      </a:solidFill>
                      <a:latin typeface="Calibri"/>
                      <a:ea typeface="Calibri"/>
                      <a:cs typeface="Calibri"/>
                    </a:defRPr>
                  </a:pPr>
                  <a:endParaRPr lang="en-US"/>
                </a:p>
              </c:txPr>
              <c:dLblPos val="inBase"/>
              <c:showVal val="1"/>
            </c:dLbl>
            <c:dLbl>
              <c:idx val="2"/>
              <c:tx>
                <c:strRef>
                  <c:f>bars!$AC$8</c:f>
                  <c:strCache>
                    <c:ptCount val="1"/>
                    <c:pt idx="0">
                      <c:v>1118
348</c:v>
                    </c:pt>
                  </c:strCache>
                </c:strRef>
              </c:tx>
              <c:spPr>
                <a:ln>
                  <a:noFill/>
                </a:ln>
              </c:spPr>
              <c:txPr>
                <a:bodyPr/>
                <a:lstStyle/>
                <a:p>
                  <a:pPr>
                    <a:defRPr sz="600" b="1" i="0">
                      <a:solidFill>
                        <a:schemeClr val="bg1"/>
                      </a:solidFill>
                      <a:latin typeface="Calibri"/>
                      <a:ea typeface="Calibri"/>
                      <a:cs typeface="Calibri"/>
                    </a:defRPr>
                  </a:pPr>
                  <a:endParaRPr lang="en-US"/>
                </a:p>
              </c:txPr>
              <c:dLblPos val="inBase"/>
              <c:showVal val="1"/>
            </c:dLbl>
            <c:dLbl>
              <c:idx val="3"/>
              <c:tx>
                <c:strRef>
                  <c:f>bars!$AC$9</c:f>
                  <c:strCache>
                    <c:ptCount val="1"/>
                    <c:pt idx="0">
                      <c:v>1094
522</c:v>
                    </c:pt>
                  </c:strCache>
                </c:strRef>
              </c:tx>
              <c:spPr>
                <a:ln>
                  <a:noFill/>
                </a:ln>
              </c:spPr>
              <c:txPr>
                <a:bodyPr/>
                <a:lstStyle/>
                <a:p>
                  <a:pPr>
                    <a:defRPr sz="600" b="1" i="0">
                      <a:solidFill>
                        <a:schemeClr val="bg1"/>
                      </a:solidFill>
                      <a:latin typeface="Calibri"/>
                      <a:ea typeface="Calibri"/>
                      <a:cs typeface="Calibri"/>
                    </a:defRPr>
                  </a:pPr>
                  <a:endParaRPr lang="en-US"/>
                </a:p>
              </c:txPr>
              <c:dLblPos val="inBase"/>
              <c:showVal val="1"/>
            </c:dLbl>
            <c:dLbl>
              <c:idx val="4"/>
              <c:tx>
                <c:strRef>
                  <c:f>bars!$AC$10</c:f>
                  <c:strCache>
                    <c:ptCount val="1"/>
                    <c:pt idx="0">
                      <c:v>890
535</c:v>
                    </c:pt>
                  </c:strCache>
                </c:strRef>
              </c:tx>
              <c:spPr>
                <a:ln>
                  <a:noFill/>
                </a:ln>
              </c:spPr>
              <c:txPr>
                <a:bodyPr/>
                <a:lstStyle/>
                <a:p>
                  <a:pPr>
                    <a:defRPr sz="600" b="1" i="0">
                      <a:solidFill>
                        <a:schemeClr val="bg1"/>
                      </a:solidFill>
                      <a:latin typeface="Calibri"/>
                      <a:ea typeface="Calibri"/>
                      <a:cs typeface="Calibri"/>
                    </a:defRPr>
                  </a:pPr>
                  <a:endParaRPr lang="en-US"/>
                </a:p>
              </c:txPr>
              <c:dLblPos val="inBase"/>
              <c:showVal val="1"/>
            </c:dLbl>
            <c:dLbl>
              <c:idx val="5"/>
              <c:tx>
                <c:strRef>
                  <c:f>bars!$AC$11</c:f>
                  <c:strCache>
                    <c:ptCount val="1"/>
                    <c:pt idx="0">
                      <c:v>833
423</c:v>
                    </c:pt>
                  </c:strCache>
                </c:strRef>
              </c:tx>
              <c:spPr>
                <a:ln>
                  <a:noFill/>
                </a:ln>
              </c:spPr>
              <c:txPr>
                <a:bodyPr/>
                <a:lstStyle/>
                <a:p>
                  <a:pPr>
                    <a:defRPr sz="600" b="1" i="0">
                      <a:solidFill>
                        <a:schemeClr val="bg1"/>
                      </a:solidFill>
                      <a:latin typeface="Calibri"/>
                      <a:ea typeface="Calibri"/>
                      <a:cs typeface="Calibri"/>
                    </a:defRPr>
                  </a:pPr>
                  <a:endParaRPr lang="en-US"/>
                </a:p>
              </c:txPr>
              <c:dLblPos val="inBase"/>
              <c:showVal val="1"/>
            </c:dLbl>
            <c:dLbl>
              <c:idx val="6"/>
              <c:layout>
                <c:manualLayout>
                  <c:x val="-2.0024849734788977E-2"/>
                  <c:y val="0.10011778563015311"/>
                </c:manualLayout>
              </c:layout>
              <c:tx>
                <c:strRef>
                  <c:f>bars!$AC$12</c:f>
                  <c:strCache>
                    <c:ptCount val="1"/>
                    <c:pt idx="0">
                      <c:v>395
148</c:v>
                    </c:pt>
                  </c:strCache>
                </c:strRef>
              </c:tx>
              <c:spPr>
                <a:ln>
                  <a:noFill/>
                </a:ln>
              </c:spPr>
              <c:txPr>
                <a:bodyPr/>
                <a:lstStyle/>
                <a:p>
                  <a:pPr>
                    <a:defRPr sz="600" b="1" i="0">
                      <a:solidFill>
                        <a:schemeClr val="bg1"/>
                      </a:solidFill>
                      <a:latin typeface="Calibri"/>
                      <a:ea typeface="Calibri"/>
                      <a:cs typeface="Calibri"/>
                    </a:defRPr>
                  </a:pPr>
                  <a:endParaRPr lang="en-US"/>
                </a:p>
              </c:txPr>
              <c:dLblPos val="outEnd"/>
              <c:showVal val="1"/>
            </c:dLbl>
            <c:dLbl>
              <c:idx val="7"/>
              <c:layout>
                <c:manualLayout>
                  <c:x val="1.1442771277022437E-2"/>
                  <c:y val="-2.3557126030624268E-2"/>
                </c:manualLayout>
              </c:layout>
              <c:tx>
                <c:strRef>
                  <c:f>bars!$AC$13</c:f>
                  <c:strCache>
                    <c:ptCount val="1"/>
                    <c:pt idx="0">
                      <c:v>470
128</c:v>
                    </c:pt>
                  </c:strCache>
                </c:strRef>
              </c:tx>
              <c:spPr>
                <a:solidFill>
                  <a:schemeClr val="bg1"/>
                </a:solidFill>
                <a:ln>
                  <a:noFill/>
                </a:ln>
              </c:spPr>
              <c:txPr>
                <a:bodyPr/>
                <a:lstStyle/>
                <a:p>
                  <a:pPr>
                    <a:defRPr sz="600" b="1" i="0">
                      <a:solidFill>
                        <a:schemeClr val="tx1"/>
                      </a:solidFill>
                      <a:latin typeface="Calibri"/>
                      <a:ea typeface="Calibri"/>
                      <a:cs typeface="Calibri"/>
                    </a:defRPr>
                  </a:pPr>
                  <a:endParaRPr lang="en-US"/>
                </a:p>
              </c:txPr>
              <c:dLblPos val="outEnd"/>
              <c:showVal val="1"/>
            </c:dLbl>
            <c:dLbl>
              <c:idx val="8"/>
              <c:layout>
                <c:manualLayout>
                  <c:x val="-2.252514030909929E-7"/>
                  <c:y val="0.13545347467608951"/>
                </c:manualLayout>
              </c:layout>
              <c:tx>
                <c:strRef>
                  <c:f>bars!$AC$14</c:f>
                  <c:strCache>
                    <c:ptCount val="1"/>
                    <c:pt idx="0">
                      <c:v>346
245</c:v>
                    </c:pt>
                  </c:strCache>
                </c:strRef>
              </c:tx>
              <c:spPr>
                <a:ln>
                  <a:noFill/>
                </a:ln>
              </c:spPr>
              <c:txPr>
                <a:bodyPr/>
                <a:lstStyle/>
                <a:p>
                  <a:pPr>
                    <a:defRPr sz="600" b="1" i="0">
                      <a:solidFill>
                        <a:schemeClr val="bg1"/>
                      </a:solidFill>
                      <a:latin typeface="Calibri"/>
                      <a:ea typeface="Calibri"/>
                      <a:cs typeface="Calibri"/>
                    </a:defRPr>
                  </a:pPr>
                  <a:endParaRPr lang="en-US"/>
                </a:p>
              </c:txPr>
              <c:dLblPos val="outEnd"/>
              <c:showVal val="1"/>
            </c:dLbl>
            <c:dLbl>
              <c:idx val="9"/>
              <c:layout>
                <c:manualLayout>
                  <c:x val="1.1442771277022536E-2"/>
                  <c:y val="-0.11778563015312193"/>
                </c:manualLayout>
              </c:layout>
              <c:tx>
                <c:strRef>
                  <c:f>bars!$AC$15</c:f>
                  <c:strCache>
                    <c:ptCount val="1"/>
                    <c:pt idx="0">
                      <c:v>409
273</c:v>
                    </c:pt>
                  </c:strCache>
                </c:strRef>
              </c:tx>
              <c:spPr>
                <a:ln>
                  <a:noFill/>
                </a:ln>
              </c:spPr>
              <c:txPr>
                <a:bodyPr/>
                <a:lstStyle/>
                <a:p>
                  <a:pPr>
                    <a:defRPr sz="600" b="1" i="0">
                      <a:solidFill>
                        <a:schemeClr val="tx1"/>
                      </a:solidFill>
                      <a:latin typeface="Calibri"/>
                      <a:ea typeface="Calibri"/>
                      <a:cs typeface="Calibri"/>
                    </a:defRPr>
                  </a:pPr>
                  <a:endParaRPr lang="en-US"/>
                </a:p>
              </c:txPr>
              <c:dLblPos val="outEnd"/>
              <c:showVal val="1"/>
            </c:dLbl>
            <c:spPr>
              <a:ln>
                <a:noFill/>
              </a:ln>
            </c:spPr>
            <c:txPr>
              <a:bodyPr/>
              <a:lstStyle/>
              <a:p>
                <a:pPr>
                  <a:defRPr sz="600" b="1">
                    <a:solidFill>
                      <a:schemeClr val="bg1"/>
                    </a:solidFill>
                  </a:defRPr>
                </a:pPr>
                <a:endParaRPr lang="en-US"/>
              </a:p>
            </c:txPr>
            <c:dLblPos val="inBase"/>
            <c:showVal val="1"/>
          </c:dLbls>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small'!$N$6:$N$15</c:f>
              <c:numCache>
                <c:formatCode>0</c:formatCode>
                <c:ptCount val="10"/>
                <c:pt idx="0">
                  <c:v>676.8</c:v>
                </c:pt>
                <c:pt idx="1">
                  <c:v>975.3</c:v>
                </c:pt>
                <c:pt idx="2">
                  <c:v>720.1</c:v>
                </c:pt>
                <c:pt idx="3">
                  <c:v>577.20000000000005</c:v>
                </c:pt>
                <c:pt idx="4">
                  <c:v>862.9</c:v>
                </c:pt>
                <c:pt idx="5">
                  <c:v>467</c:v>
                </c:pt>
                <c:pt idx="6">
                  <c:v>230.1</c:v>
                </c:pt>
                <c:pt idx="7">
                  <c:v>256.60000000000002</c:v>
                </c:pt>
                <c:pt idx="8">
                  <c:v>329.6</c:v>
                </c:pt>
                <c:pt idx="9">
                  <c:v>0</c:v>
                </c:pt>
              </c:numCache>
            </c:numRef>
          </c:val>
        </c:ser>
        <c:ser>
          <c:idx val="12"/>
          <c:order val="12"/>
          <c:tx>
            <c:strRef>
              <c:f>'bars small'!$O$5</c:f>
              <c:strCache>
                <c:ptCount val="1"/>
                <c:pt idx="0">
                  <c:v>1997</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small'!$O$6:$O$15</c:f>
              <c:numCache>
                <c:formatCode>0</c:formatCode>
                <c:ptCount val="10"/>
                <c:pt idx="0">
                  <c:v>610.70000000000005</c:v>
                </c:pt>
                <c:pt idx="1">
                  <c:v>914.3</c:v>
                </c:pt>
                <c:pt idx="2">
                  <c:v>579.1</c:v>
                </c:pt>
                <c:pt idx="3">
                  <c:v>522</c:v>
                </c:pt>
                <c:pt idx="4">
                  <c:v>783.1</c:v>
                </c:pt>
                <c:pt idx="5">
                  <c:v>452.2</c:v>
                </c:pt>
                <c:pt idx="6">
                  <c:v>196.1</c:v>
                </c:pt>
                <c:pt idx="7">
                  <c:v>220.2</c:v>
                </c:pt>
                <c:pt idx="8">
                  <c:v>317.7</c:v>
                </c:pt>
              </c:numCache>
            </c:numRef>
          </c:val>
        </c:ser>
        <c:ser>
          <c:idx val="13"/>
          <c:order val="13"/>
          <c:tx>
            <c:strRef>
              <c:f>'bars small'!$P$5</c:f>
              <c:strCache>
                <c:ptCount val="1"/>
                <c:pt idx="0">
                  <c:v>1998</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small'!$P$6:$P$15</c:f>
              <c:numCache>
                <c:formatCode>0</c:formatCode>
                <c:ptCount val="10"/>
                <c:pt idx="0">
                  <c:v>534.9</c:v>
                </c:pt>
                <c:pt idx="1">
                  <c:v>840.3</c:v>
                </c:pt>
                <c:pt idx="2">
                  <c:v>437.2</c:v>
                </c:pt>
                <c:pt idx="3">
                  <c:v>540.70000000000005</c:v>
                </c:pt>
                <c:pt idx="4">
                  <c:v>788.9</c:v>
                </c:pt>
                <c:pt idx="5">
                  <c:v>429.1</c:v>
                </c:pt>
                <c:pt idx="6">
                  <c:v>161.69999999999999</c:v>
                </c:pt>
                <c:pt idx="7">
                  <c:v>175.9</c:v>
                </c:pt>
                <c:pt idx="8">
                  <c:v>307.10000000000002</c:v>
                </c:pt>
              </c:numCache>
            </c:numRef>
          </c:val>
        </c:ser>
        <c:ser>
          <c:idx val="14"/>
          <c:order val="14"/>
          <c:tx>
            <c:strRef>
              <c:f>'bars small'!$Q$5</c:f>
              <c:strCache>
                <c:ptCount val="1"/>
                <c:pt idx="0">
                  <c:v>1999</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small'!$Q$6:$Q$15</c:f>
              <c:numCache>
                <c:formatCode>0</c:formatCode>
                <c:ptCount val="10"/>
                <c:pt idx="0">
                  <c:v>485.8</c:v>
                </c:pt>
                <c:pt idx="1">
                  <c:v>716.4</c:v>
                </c:pt>
                <c:pt idx="2">
                  <c:v>394.8</c:v>
                </c:pt>
                <c:pt idx="3">
                  <c:v>582.5</c:v>
                </c:pt>
                <c:pt idx="4">
                  <c:v>773.6</c:v>
                </c:pt>
                <c:pt idx="5">
                  <c:v>460.7</c:v>
                </c:pt>
                <c:pt idx="6">
                  <c:v>148.1</c:v>
                </c:pt>
                <c:pt idx="7">
                  <c:v>146.30000000000001</c:v>
                </c:pt>
                <c:pt idx="8">
                  <c:v>311.5</c:v>
                </c:pt>
              </c:numCache>
            </c:numRef>
          </c:val>
        </c:ser>
        <c:ser>
          <c:idx val="15"/>
          <c:order val="15"/>
          <c:tx>
            <c:strRef>
              <c:f>'bars small'!$R$5</c:f>
              <c:strCache>
                <c:ptCount val="1"/>
                <c:pt idx="0">
                  <c:v>2000</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small'!$R$6:$R$15</c:f>
              <c:numCache>
                <c:formatCode>0</c:formatCode>
                <c:ptCount val="10"/>
                <c:pt idx="0">
                  <c:v>406.6</c:v>
                </c:pt>
                <c:pt idx="1">
                  <c:v>668</c:v>
                </c:pt>
                <c:pt idx="2">
                  <c:v>420.2</c:v>
                </c:pt>
                <c:pt idx="3">
                  <c:v>592.79999999999995</c:v>
                </c:pt>
                <c:pt idx="4">
                  <c:v>687</c:v>
                </c:pt>
                <c:pt idx="5">
                  <c:v>422.6</c:v>
                </c:pt>
                <c:pt idx="6">
                  <c:v>148.4</c:v>
                </c:pt>
                <c:pt idx="7">
                  <c:v>145.30000000000001</c:v>
                </c:pt>
                <c:pt idx="8">
                  <c:v>284.89999999999969</c:v>
                </c:pt>
                <c:pt idx="9">
                  <c:v>317.39999999999969</c:v>
                </c:pt>
              </c:numCache>
            </c:numRef>
          </c:val>
        </c:ser>
        <c:ser>
          <c:idx val="16"/>
          <c:order val="16"/>
          <c:tx>
            <c:strRef>
              <c:f>'bars small'!$S$5</c:f>
              <c:strCache>
                <c:ptCount val="1"/>
                <c:pt idx="0">
                  <c:v>2001</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small'!$S$6:$S$15</c:f>
              <c:numCache>
                <c:formatCode>0</c:formatCode>
                <c:ptCount val="10"/>
                <c:pt idx="0">
                  <c:v>380.4</c:v>
                </c:pt>
                <c:pt idx="1">
                  <c:v>633.29999999999995</c:v>
                </c:pt>
                <c:pt idx="2">
                  <c:v>456.1</c:v>
                </c:pt>
                <c:pt idx="3">
                  <c:v>685.3</c:v>
                </c:pt>
                <c:pt idx="4">
                  <c:v>632.5</c:v>
                </c:pt>
                <c:pt idx="5">
                  <c:v>496.6</c:v>
                </c:pt>
                <c:pt idx="6">
                  <c:v>183.3</c:v>
                </c:pt>
                <c:pt idx="7">
                  <c:v>138.69999999999999</c:v>
                </c:pt>
                <c:pt idx="8">
                  <c:v>338.7</c:v>
                </c:pt>
                <c:pt idx="9">
                  <c:v>328.1</c:v>
                </c:pt>
              </c:numCache>
            </c:numRef>
          </c:val>
        </c:ser>
        <c:ser>
          <c:idx val="17"/>
          <c:order val="17"/>
          <c:tx>
            <c:strRef>
              <c:f>'bars small'!$T$5</c:f>
              <c:strCache>
                <c:ptCount val="1"/>
                <c:pt idx="0">
                  <c:v>2002</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small'!$T$6:$T$15</c:f>
              <c:numCache>
                <c:formatCode>0</c:formatCode>
                <c:ptCount val="10"/>
                <c:pt idx="0">
                  <c:v>336.8</c:v>
                </c:pt>
                <c:pt idx="1">
                  <c:v>630.70000000000005</c:v>
                </c:pt>
                <c:pt idx="2">
                  <c:v>448.9</c:v>
                </c:pt>
                <c:pt idx="3">
                  <c:v>647.70000000000005</c:v>
                </c:pt>
                <c:pt idx="4">
                  <c:v>581.9</c:v>
                </c:pt>
                <c:pt idx="5">
                  <c:v>549.5</c:v>
                </c:pt>
                <c:pt idx="6">
                  <c:v>176.8</c:v>
                </c:pt>
                <c:pt idx="7">
                  <c:v>128.30000000000001</c:v>
                </c:pt>
                <c:pt idx="8">
                  <c:v>290</c:v>
                </c:pt>
                <c:pt idx="9">
                  <c:v>327.3</c:v>
                </c:pt>
              </c:numCache>
            </c:numRef>
          </c:val>
        </c:ser>
        <c:ser>
          <c:idx val="18"/>
          <c:order val="18"/>
          <c:tx>
            <c:strRef>
              <c:f>'bars small'!$U$5</c:f>
              <c:strCache>
                <c:ptCount val="1"/>
                <c:pt idx="0">
                  <c:v>2003</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small'!$U$6:$U$15</c:f>
              <c:numCache>
                <c:formatCode>0</c:formatCode>
                <c:ptCount val="10"/>
                <c:pt idx="0">
                  <c:v>320.89999999999969</c:v>
                </c:pt>
                <c:pt idx="1">
                  <c:v>597</c:v>
                </c:pt>
                <c:pt idx="2">
                  <c:v>431.8</c:v>
                </c:pt>
                <c:pt idx="3">
                  <c:v>647.20000000000005</c:v>
                </c:pt>
                <c:pt idx="4">
                  <c:v>642.9</c:v>
                </c:pt>
                <c:pt idx="5">
                  <c:v>538.20000000000005</c:v>
                </c:pt>
                <c:pt idx="6">
                  <c:v>169.9</c:v>
                </c:pt>
                <c:pt idx="7">
                  <c:v>127.8</c:v>
                </c:pt>
                <c:pt idx="8">
                  <c:v>262</c:v>
                </c:pt>
                <c:pt idx="9">
                  <c:v>332.5</c:v>
                </c:pt>
              </c:numCache>
            </c:numRef>
          </c:val>
        </c:ser>
        <c:ser>
          <c:idx val="19"/>
          <c:order val="19"/>
          <c:tx>
            <c:strRef>
              <c:f>'bars small'!$V$5</c:f>
              <c:strCache>
                <c:ptCount val="1"/>
                <c:pt idx="0">
                  <c:v>2004</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small'!$V$6:$V$15</c:f>
              <c:numCache>
                <c:formatCode>0</c:formatCode>
                <c:ptCount val="10"/>
                <c:pt idx="0">
                  <c:v>300.89999999999969</c:v>
                </c:pt>
                <c:pt idx="1">
                  <c:v>552</c:v>
                </c:pt>
                <c:pt idx="2">
                  <c:v>367</c:v>
                </c:pt>
                <c:pt idx="3">
                  <c:v>607.70000000000005</c:v>
                </c:pt>
                <c:pt idx="4">
                  <c:v>657.4</c:v>
                </c:pt>
                <c:pt idx="5">
                  <c:v>498.3</c:v>
                </c:pt>
                <c:pt idx="6">
                  <c:v>172.2</c:v>
                </c:pt>
                <c:pt idx="7">
                  <c:v>128.80000000000001</c:v>
                </c:pt>
                <c:pt idx="8">
                  <c:v>260.5</c:v>
                </c:pt>
                <c:pt idx="9">
                  <c:v>300.8</c:v>
                </c:pt>
              </c:numCache>
            </c:numRef>
          </c:val>
        </c:ser>
        <c:ser>
          <c:idx val="20"/>
          <c:order val="20"/>
          <c:tx>
            <c:strRef>
              <c:f>'bars small'!$W$5</c:f>
              <c:strCache>
                <c:ptCount val="1"/>
                <c:pt idx="0">
                  <c:v>2005</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small'!$W$6:$W$15</c:f>
              <c:numCache>
                <c:formatCode>0</c:formatCode>
                <c:ptCount val="10"/>
                <c:pt idx="0">
                  <c:v>304.60000000000002</c:v>
                </c:pt>
                <c:pt idx="1">
                  <c:v>555.6</c:v>
                </c:pt>
                <c:pt idx="2">
                  <c:v>356.4</c:v>
                </c:pt>
                <c:pt idx="3">
                  <c:v>559.4</c:v>
                </c:pt>
                <c:pt idx="4">
                  <c:v>683.6</c:v>
                </c:pt>
                <c:pt idx="5">
                  <c:v>544</c:v>
                </c:pt>
                <c:pt idx="6">
                  <c:v>171.4</c:v>
                </c:pt>
                <c:pt idx="7">
                  <c:v>146.4</c:v>
                </c:pt>
                <c:pt idx="8">
                  <c:v>289</c:v>
                </c:pt>
                <c:pt idx="9">
                  <c:v>272.60000000000002</c:v>
                </c:pt>
              </c:numCache>
            </c:numRef>
          </c:val>
        </c:ser>
        <c:ser>
          <c:idx val="21"/>
          <c:order val="21"/>
          <c:tx>
            <c:strRef>
              <c:f>'bars small'!$X$5</c:f>
              <c:strCache>
                <c:ptCount val="1"/>
                <c:pt idx="0">
                  <c:v>2006</c:v>
                </c:pt>
              </c:strCache>
            </c:strRef>
          </c:tx>
          <c:spPr>
            <a:solidFill>
              <a:srgbClr val="4F81BD">
                <a:lumMod val="50000"/>
              </a:srgb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small'!$X$6:$X$15</c:f>
              <c:numCache>
                <c:formatCode>0</c:formatCode>
                <c:ptCount val="10"/>
                <c:pt idx="0">
                  <c:v>287.89999999999969</c:v>
                </c:pt>
                <c:pt idx="1">
                  <c:v>555.1</c:v>
                </c:pt>
                <c:pt idx="2">
                  <c:v>370</c:v>
                </c:pt>
                <c:pt idx="3">
                  <c:v>553.9</c:v>
                </c:pt>
                <c:pt idx="4">
                  <c:v>749.1</c:v>
                </c:pt>
                <c:pt idx="5">
                  <c:v>548.29999999999995</c:v>
                </c:pt>
                <c:pt idx="6">
                  <c:v>179.6</c:v>
                </c:pt>
                <c:pt idx="7">
                  <c:v>170.8</c:v>
                </c:pt>
                <c:pt idx="8">
                  <c:v>287.5</c:v>
                </c:pt>
                <c:pt idx="9">
                  <c:v>409</c:v>
                </c:pt>
              </c:numCache>
            </c:numRef>
          </c:val>
        </c:ser>
        <c:ser>
          <c:idx val="22"/>
          <c:order val="22"/>
          <c:tx>
            <c:strRef>
              <c:f>'bars small'!$Y$5</c:f>
              <c:strCache>
                <c:ptCount val="1"/>
                <c:pt idx="0">
                  <c:v>2007</c:v>
                </c:pt>
              </c:strCache>
            </c:strRef>
          </c:tx>
          <c:spPr>
            <a:solidFill>
              <a:schemeClr val="accent1">
                <a:lumMod val="50000"/>
              </a:schemeClr>
            </a:solidFill>
          </c:spPr>
          <c:cat>
            <c:strRef>
              <c:f>'bars small'!$B$6:$B$15</c:f>
              <c:strCache>
                <c:ptCount val="10"/>
                <c:pt idx="0">
                  <c:v>NYC</c:v>
                </c:pt>
                <c:pt idx="1">
                  <c:v>Chicago</c:v>
                </c:pt>
                <c:pt idx="2">
                  <c:v>Los
Angeles</c:v>
                </c:pt>
                <c:pt idx="3">
                  <c:v>Dallas</c:v>
                </c:pt>
                <c:pt idx="4">
                  <c:v>Phil.</c:v>
                </c:pt>
                <c:pt idx="5">
                  <c:v>Houston</c:v>
                </c:pt>
                <c:pt idx="6">
                  <c:v>San Antonio</c:v>
                </c:pt>
                <c:pt idx="7">
                  <c:v>San
Diego</c:v>
                </c:pt>
                <c:pt idx="8">
                  <c:v>Phoenix</c:v>
                </c:pt>
                <c:pt idx="9">
                  <c:v>Las
Vegas</c:v>
                </c:pt>
              </c:strCache>
            </c:strRef>
          </c:cat>
          <c:val>
            <c:numRef>
              <c:f>'bars small'!$Y$6:$Y$15</c:f>
              <c:numCache>
                <c:formatCode>0</c:formatCode>
                <c:ptCount val="10"/>
                <c:pt idx="0">
                  <c:v>265</c:v>
                </c:pt>
                <c:pt idx="1">
                  <c:v>546.1</c:v>
                </c:pt>
                <c:pt idx="2">
                  <c:v>348.3</c:v>
                </c:pt>
                <c:pt idx="3">
                  <c:v>582.79999999999995</c:v>
                </c:pt>
                <c:pt idx="4">
                  <c:v>714.6</c:v>
                </c:pt>
                <c:pt idx="5">
                  <c:v>529.1</c:v>
                </c:pt>
                <c:pt idx="6">
                  <c:v>185.7</c:v>
                </c:pt>
                <c:pt idx="7">
                  <c:v>166.1</c:v>
                </c:pt>
                <c:pt idx="8">
                  <c:v>320.60000000000002</c:v>
                </c:pt>
                <c:pt idx="9">
                  <c:v>391.5</c:v>
                </c:pt>
              </c:numCache>
            </c:numRef>
          </c:val>
        </c:ser>
        <c:gapWidth val="320"/>
        <c:axId val="255076224"/>
        <c:axId val="255077760"/>
      </c:barChart>
      <c:catAx>
        <c:axId val="255076224"/>
        <c:scaling>
          <c:orientation val="minMax"/>
        </c:scaling>
        <c:axPos val="b"/>
        <c:tickLblPos val="nextTo"/>
        <c:spPr>
          <a:ln>
            <a:solidFill>
              <a:schemeClr val="tx1"/>
            </a:solidFill>
          </a:ln>
        </c:spPr>
        <c:txPr>
          <a:bodyPr rot="0"/>
          <a:lstStyle/>
          <a:p>
            <a:pPr>
              <a:defRPr sz="900" b="0">
                <a:latin typeface="+mn-lt"/>
                <a:cs typeface="Arial" pitchFamily="34" charset="0"/>
              </a:defRPr>
            </a:pPr>
            <a:endParaRPr lang="en-US"/>
          </a:p>
        </c:txPr>
        <c:crossAx val="255077760"/>
        <c:crosses val="autoZero"/>
        <c:auto val="1"/>
        <c:lblAlgn val="ctr"/>
        <c:lblOffset val="100"/>
      </c:catAx>
      <c:valAx>
        <c:axId val="255077760"/>
        <c:scaling>
          <c:orientation val="minMax"/>
          <c:max val="1600"/>
          <c:min val="0"/>
        </c:scaling>
        <c:axPos val="l"/>
        <c:minorGridlines>
          <c:spPr>
            <a:ln>
              <a:solidFill>
                <a:srgbClr val="1F497D">
                  <a:lumMod val="75000"/>
                  <a:alpha val="40000"/>
                </a:srgbClr>
              </a:solidFill>
            </a:ln>
          </c:spPr>
        </c:minorGridlines>
        <c:numFmt formatCode="0" sourceLinked="1"/>
        <c:tickLblPos val="nextTo"/>
        <c:spPr>
          <a:ln>
            <a:noFill/>
          </a:ln>
        </c:spPr>
        <c:txPr>
          <a:bodyPr/>
          <a:lstStyle/>
          <a:p>
            <a:pPr>
              <a:defRPr sz="800" b="0"/>
            </a:pPr>
            <a:endParaRPr lang="en-US"/>
          </a:p>
        </c:txPr>
        <c:crossAx val="255076224"/>
        <c:crosses val="autoZero"/>
        <c:crossBetween val="between"/>
        <c:majorUnit val="400"/>
        <c:minorUnit val="200"/>
      </c:valAx>
      <c:spPr>
        <a:noFill/>
      </c:spPr>
    </c:plotArea>
    <c:plotVisOnly val="1"/>
  </c:chart>
  <c:spPr>
    <a:noFill/>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74793092149019"/>
          <c:y val="3.5690933370170846E-2"/>
          <c:w val="0.80692958806601589"/>
          <c:h val="0.7398875305060556"/>
        </c:manualLayout>
      </c:layout>
      <c:bubbleChart>
        <c:ser>
          <c:idx val="0"/>
          <c:order val="0"/>
          <c:tx>
            <c:strRef>
              <c:f>small!$F$2</c:f>
              <c:strCache>
                <c:ptCount val="1"/>
                <c:pt idx="0">
                  <c:v>Violent Crime rate </c:v>
                </c:pt>
              </c:strCache>
            </c:strRef>
          </c:tx>
          <c:spPr>
            <a:noFill/>
            <a:ln w="19050">
              <a:solidFill>
                <a:schemeClr val="tx1"/>
              </a:solidFill>
            </a:ln>
          </c:spPr>
          <c:dLbls>
            <c:dLbl>
              <c:idx val="0"/>
              <c:tx>
                <c:strRef>
                  <c:f>small!$B$3</c:f>
                  <c:strCache>
                    <c:ptCount val="1"/>
                    <c:pt idx="0">
                      <c:v>Yates</c:v>
                    </c:pt>
                  </c:strCache>
                </c:strRef>
              </c:tx>
              <c:dLblPos val="r"/>
              <c:showVal val="1"/>
            </c:dLbl>
            <c:dLbl>
              <c:idx val="1"/>
              <c:tx>
                <c:strRef>
                  <c:f>small!$B$4</c:f>
                  <c:strCache>
                    <c:ptCount val="1"/>
                  </c:strCache>
                </c:strRef>
              </c:tx>
              <c:dLblPos val="r"/>
              <c:showVal val="1"/>
            </c:dLbl>
            <c:dLbl>
              <c:idx val="2"/>
              <c:tx>
                <c:strRef>
                  <c:f>small!$B$5</c:f>
                  <c:strCache>
                    <c:ptCount val="1"/>
                  </c:strCache>
                </c:strRef>
              </c:tx>
              <c:dLblPos val="r"/>
              <c:showVal val="1"/>
            </c:dLbl>
            <c:dLbl>
              <c:idx val="3"/>
              <c:tx>
                <c:strRef>
                  <c:f>small!$B$6</c:f>
                  <c:strCache>
                    <c:ptCount val="1"/>
                  </c:strCache>
                </c:strRef>
              </c:tx>
              <c:dLblPos val="r"/>
              <c:showVal val="1"/>
            </c:dLbl>
            <c:dLbl>
              <c:idx val="4"/>
              <c:tx>
                <c:strRef>
                  <c:f>small!$B$7</c:f>
                  <c:strCache>
                    <c:ptCount val="1"/>
                  </c:strCache>
                </c:strRef>
              </c:tx>
              <c:dLblPos val="r"/>
              <c:showVal val="1"/>
            </c:dLbl>
            <c:dLbl>
              <c:idx val="5"/>
              <c:tx>
                <c:strRef>
                  <c:f>small!$B$8</c:f>
                  <c:strCache>
                    <c:ptCount val="1"/>
                  </c:strCache>
                </c:strRef>
              </c:tx>
              <c:dLblPos val="r"/>
              <c:showVal val="1"/>
            </c:dLbl>
            <c:dLbl>
              <c:idx val="6"/>
              <c:tx>
                <c:strRef>
                  <c:f>small!$B$9</c:f>
                  <c:strCache>
                    <c:ptCount val="1"/>
                  </c:strCache>
                </c:strRef>
              </c:tx>
              <c:dLblPos val="r"/>
              <c:showVal val="1"/>
            </c:dLbl>
            <c:dLbl>
              <c:idx val="7"/>
              <c:tx>
                <c:strRef>
                  <c:f>small!$B$10</c:f>
                  <c:strCache>
                    <c:ptCount val="1"/>
                  </c:strCache>
                </c:strRef>
              </c:tx>
              <c:dLblPos val="r"/>
              <c:showVal val="1"/>
            </c:dLbl>
            <c:dLbl>
              <c:idx val="8"/>
              <c:tx>
                <c:strRef>
                  <c:f>small!$B$11</c:f>
                  <c:strCache>
                    <c:ptCount val="1"/>
                  </c:strCache>
                </c:strRef>
              </c:tx>
              <c:dLblPos val="r"/>
              <c:showVal val="1"/>
            </c:dLbl>
            <c:dLbl>
              <c:idx val="9"/>
              <c:tx>
                <c:strRef>
                  <c:f>small!$B$12</c:f>
                  <c:strCache>
                    <c:ptCount val="1"/>
                  </c:strCache>
                </c:strRef>
              </c:tx>
              <c:dLblPos val="r"/>
              <c:showVal val="1"/>
            </c:dLbl>
            <c:dLbl>
              <c:idx val="10"/>
              <c:tx>
                <c:strRef>
                  <c:f>small!$B$13</c:f>
                  <c:strCache>
                    <c:ptCount val="1"/>
                  </c:strCache>
                </c:strRef>
              </c:tx>
              <c:dLblPos val="r"/>
              <c:showVal val="1"/>
            </c:dLbl>
            <c:dLbl>
              <c:idx val="11"/>
              <c:tx>
                <c:strRef>
                  <c:f>small!$B$14</c:f>
                  <c:strCache>
                    <c:ptCount val="1"/>
                  </c:strCache>
                </c:strRef>
              </c:tx>
              <c:dLblPos val="r"/>
              <c:showVal val="1"/>
            </c:dLbl>
            <c:dLbl>
              <c:idx val="12"/>
              <c:tx>
                <c:strRef>
                  <c:f>small!$B$15</c:f>
                  <c:strCache>
                    <c:ptCount val="1"/>
                  </c:strCache>
                </c:strRef>
              </c:tx>
              <c:dLblPos val="r"/>
              <c:showVal val="1"/>
            </c:dLbl>
            <c:dLbl>
              <c:idx val="13"/>
              <c:tx>
                <c:strRef>
                  <c:f>small!$B$16</c:f>
                  <c:strCache>
                    <c:ptCount val="1"/>
                  </c:strCache>
                </c:strRef>
              </c:tx>
              <c:dLblPos val="r"/>
              <c:showVal val="1"/>
            </c:dLbl>
            <c:dLbl>
              <c:idx val="14"/>
              <c:tx>
                <c:strRef>
                  <c:f>small!$B$17</c:f>
                  <c:strCache>
                    <c:ptCount val="1"/>
                  </c:strCache>
                </c:strRef>
              </c:tx>
              <c:dLblPos val="r"/>
              <c:showVal val="1"/>
            </c:dLbl>
            <c:dLbl>
              <c:idx val="15"/>
              <c:tx>
                <c:strRef>
                  <c:f>small!$B$18</c:f>
                  <c:strCache>
                    <c:ptCount val="1"/>
                  </c:strCache>
                </c:strRef>
              </c:tx>
              <c:dLblPos val="r"/>
              <c:showVal val="1"/>
            </c:dLbl>
            <c:dLbl>
              <c:idx val="16"/>
              <c:tx>
                <c:strRef>
                  <c:f>small!$B$19</c:f>
                  <c:strCache>
                    <c:ptCount val="1"/>
                  </c:strCache>
                </c:strRef>
              </c:tx>
              <c:dLblPos val="r"/>
              <c:showVal val="1"/>
            </c:dLbl>
            <c:dLbl>
              <c:idx val="17"/>
              <c:tx>
                <c:strRef>
                  <c:f>small!$B$20</c:f>
                  <c:strCache>
                    <c:ptCount val="1"/>
                  </c:strCache>
                </c:strRef>
              </c:tx>
              <c:dLblPos val="r"/>
              <c:showVal val="1"/>
            </c:dLbl>
            <c:dLbl>
              <c:idx val="18"/>
              <c:tx>
                <c:strRef>
                  <c:f>small!$B$21</c:f>
                  <c:strCache>
                    <c:ptCount val="1"/>
                  </c:strCache>
                </c:strRef>
              </c:tx>
              <c:dLblPos val="r"/>
              <c:showVal val="1"/>
            </c:dLbl>
            <c:dLbl>
              <c:idx val="19"/>
              <c:tx>
                <c:strRef>
                  <c:f>small!$B$22</c:f>
                  <c:strCache>
                    <c:ptCount val="1"/>
                  </c:strCache>
                </c:strRef>
              </c:tx>
              <c:dLblPos val="r"/>
              <c:showVal val="1"/>
            </c:dLbl>
            <c:dLbl>
              <c:idx val="20"/>
              <c:tx>
                <c:strRef>
                  <c:f>small!$B$23</c:f>
                  <c:strCache>
                    <c:ptCount val="1"/>
                    <c:pt idx="0">
                      <c:v>Warren</c:v>
                    </c:pt>
                  </c:strCache>
                </c:strRef>
              </c:tx>
              <c:dLblPos val="r"/>
              <c:showVal val="1"/>
            </c:dLbl>
            <c:dLbl>
              <c:idx val="21"/>
              <c:layout>
                <c:manualLayout>
                  <c:x val="-0.12445887445887446"/>
                  <c:y val="5.3078556263269384E-3"/>
                </c:manualLayout>
              </c:layout>
              <c:tx>
                <c:strRef>
                  <c:f>small!$B$24</c:f>
                  <c:strCache>
                    <c:ptCount val="1"/>
                    <c:pt idx="0">
                      <c:v>Suffolk\
Nassau</c:v>
                    </c:pt>
                  </c:strCache>
                </c:strRef>
              </c:tx>
              <c:dLblPos val="r"/>
              <c:showVal val="1"/>
            </c:dLbl>
            <c:dLbl>
              <c:idx val="22"/>
              <c:tx>
                <c:strRef>
                  <c:f>small!$B$25</c:f>
                  <c:strCache>
                    <c:ptCount val="1"/>
                  </c:strCache>
                </c:strRef>
              </c:tx>
              <c:dLblPos val="r"/>
              <c:showVal val="1"/>
            </c:dLbl>
            <c:dLbl>
              <c:idx val="23"/>
              <c:tx>
                <c:strRef>
                  <c:f>small!$B$26</c:f>
                  <c:strCache>
                    <c:ptCount val="1"/>
                  </c:strCache>
                </c:strRef>
              </c:tx>
              <c:dLblPos val="r"/>
              <c:showVal val="1"/>
            </c:dLbl>
            <c:dLbl>
              <c:idx val="24"/>
              <c:tx>
                <c:strRef>
                  <c:f>small!$B$27</c:f>
                  <c:strCache>
                    <c:ptCount val="1"/>
                  </c:strCache>
                </c:strRef>
              </c:tx>
              <c:dLblPos val="r"/>
              <c:showVal val="1"/>
            </c:dLbl>
            <c:dLbl>
              <c:idx val="25"/>
              <c:tx>
                <c:strRef>
                  <c:f>small!$B$28</c:f>
                  <c:strCache>
                    <c:ptCount val="1"/>
                  </c:strCache>
                </c:strRef>
              </c:tx>
              <c:dLblPos val="r"/>
              <c:showVal val="1"/>
            </c:dLbl>
            <c:dLbl>
              <c:idx val="26"/>
              <c:tx>
                <c:strRef>
                  <c:f>small!$B$29</c:f>
                  <c:strCache>
                    <c:ptCount val="1"/>
                  </c:strCache>
                </c:strRef>
              </c:tx>
              <c:dLblPos val="r"/>
              <c:showVal val="1"/>
            </c:dLbl>
            <c:dLbl>
              <c:idx val="27"/>
              <c:tx>
                <c:strRef>
                  <c:f>small!$B$30</c:f>
                  <c:strCache>
                    <c:ptCount val="1"/>
                  </c:strCache>
                </c:strRef>
              </c:tx>
              <c:dLblPos val="r"/>
              <c:showVal val="1"/>
            </c:dLbl>
            <c:dLbl>
              <c:idx val="28"/>
              <c:tx>
                <c:strRef>
                  <c:f>small!$B$31</c:f>
                  <c:strCache>
                    <c:ptCount val="1"/>
                  </c:strCache>
                </c:strRef>
              </c:tx>
              <c:dLblPos val="r"/>
              <c:showVal val="1"/>
            </c:dLbl>
            <c:dLbl>
              <c:idx val="29"/>
              <c:tx>
                <c:strRef>
                  <c:f>small!$B$32</c:f>
                  <c:strCache>
                    <c:ptCount val="1"/>
                  </c:strCache>
                </c:strRef>
              </c:tx>
              <c:dLblPos val="r"/>
              <c:showVal val="1"/>
            </c:dLbl>
            <c:dLbl>
              <c:idx val="30"/>
              <c:tx>
                <c:strRef>
                  <c:f>small!$B$33</c:f>
                  <c:strCache>
                    <c:ptCount val="1"/>
                  </c:strCache>
                </c:strRef>
              </c:tx>
              <c:dLblPos val="r"/>
              <c:showVal val="1"/>
            </c:dLbl>
            <c:dLbl>
              <c:idx val="31"/>
              <c:tx>
                <c:strRef>
                  <c:f>small!$B$34</c:f>
                  <c:strCache>
                    <c:ptCount val="1"/>
                  </c:strCache>
                </c:strRef>
              </c:tx>
              <c:dLblPos val="r"/>
              <c:showVal val="1"/>
            </c:dLbl>
            <c:dLbl>
              <c:idx val="32"/>
              <c:tx>
                <c:strRef>
                  <c:f>small!$B$35</c:f>
                  <c:strCache>
                    <c:ptCount val="1"/>
                  </c:strCache>
                </c:strRef>
              </c:tx>
              <c:dLblPos val="r"/>
              <c:showVal val="1"/>
            </c:dLbl>
            <c:dLbl>
              <c:idx val="33"/>
              <c:tx>
                <c:strRef>
                  <c:f>small!$B$36</c:f>
                  <c:strCache>
                    <c:ptCount val="1"/>
                  </c:strCache>
                </c:strRef>
              </c:tx>
              <c:dLblPos val="r"/>
              <c:showVal val="1"/>
            </c:dLbl>
            <c:dLbl>
              <c:idx val="34"/>
              <c:tx>
                <c:strRef>
                  <c:f>small!$B$37</c:f>
                  <c:strCache>
                    <c:ptCount val="1"/>
                  </c:strCache>
                </c:strRef>
              </c:tx>
              <c:dLblPos val="r"/>
              <c:showVal val="1"/>
            </c:dLbl>
            <c:dLbl>
              <c:idx val="35"/>
              <c:tx>
                <c:strRef>
                  <c:f>small!$B$38</c:f>
                  <c:strCache>
                    <c:ptCount val="1"/>
                  </c:strCache>
                </c:strRef>
              </c:tx>
              <c:dLblPos val="r"/>
              <c:showVal val="1"/>
            </c:dLbl>
            <c:dLbl>
              <c:idx val="36"/>
              <c:tx>
                <c:strRef>
                  <c:f>small!$B$39</c:f>
                  <c:strCache>
                    <c:ptCount val="1"/>
                  </c:strCache>
                </c:strRef>
              </c:tx>
              <c:dLblPos val="r"/>
              <c:showVal val="1"/>
            </c:dLbl>
            <c:dLbl>
              <c:idx val="37"/>
              <c:tx>
                <c:strRef>
                  <c:f>small!$B$40</c:f>
                  <c:strCache>
                    <c:ptCount val="1"/>
                  </c:strCache>
                </c:strRef>
              </c:tx>
              <c:dLblPos val="r"/>
              <c:showVal val="1"/>
            </c:dLbl>
            <c:dLbl>
              <c:idx val="38"/>
              <c:tx>
                <c:strRef>
                  <c:f>small!$B$41</c:f>
                  <c:strCache>
                    <c:ptCount val="1"/>
                  </c:strCache>
                </c:strRef>
              </c:tx>
              <c:dLblPos val="r"/>
              <c:showVal val="1"/>
            </c:dLbl>
            <c:dLbl>
              <c:idx val="39"/>
              <c:tx>
                <c:strRef>
                  <c:f>small!$B$42</c:f>
                  <c:strCache>
                    <c:ptCount val="1"/>
                  </c:strCache>
                </c:strRef>
              </c:tx>
              <c:dLblPos val="r"/>
              <c:showVal val="1"/>
            </c:dLbl>
            <c:dLbl>
              <c:idx val="40"/>
              <c:tx>
                <c:strRef>
                  <c:f>small!$B$43</c:f>
                  <c:strCache>
                    <c:ptCount val="1"/>
                  </c:strCache>
                </c:strRef>
              </c:tx>
              <c:dLblPos val="r"/>
              <c:showVal val="1"/>
            </c:dLbl>
            <c:dLbl>
              <c:idx val="41"/>
              <c:tx>
                <c:strRef>
                  <c:f>small!$B$44</c:f>
                  <c:strCache>
                    <c:ptCount val="1"/>
                  </c:strCache>
                </c:strRef>
              </c:tx>
              <c:dLblPos val="r"/>
              <c:showVal val="1"/>
            </c:dLbl>
            <c:dLbl>
              <c:idx val="42"/>
              <c:tx>
                <c:strRef>
                  <c:f>small!$B$45</c:f>
                  <c:strCache>
                    <c:ptCount val="1"/>
                  </c:strCache>
                </c:strRef>
              </c:tx>
              <c:dLblPos val="r"/>
              <c:showVal val="1"/>
            </c:dLbl>
            <c:dLbl>
              <c:idx val="43"/>
              <c:tx>
                <c:strRef>
                  <c:f>small!$B$46</c:f>
                  <c:strCache>
                    <c:ptCount val="1"/>
                  </c:strCache>
                </c:strRef>
              </c:tx>
              <c:dLblPos val="r"/>
              <c:showVal val="1"/>
            </c:dLbl>
            <c:dLbl>
              <c:idx val="44"/>
              <c:tx>
                <c:strRef>
                  <c:f>small!$B$47</c:f>
                  <c:strCache>
                    <c:ptCount val="1"/>
                  </c:strCache>
                </c:strRef>
              </c:tx>
              <c:dLblPos val="r"/>
              <c:showVal val="1"/>
            </c:dLbl>
            <c:dLbl>
              <c:idx val="45"/>
              <c:tx>
                <c:strRef>
                  <c:f>small!$B$48</c:f>
                  <c:strCache>
                    <c:ptCount val="1"/>
                  </c:strCache>
                </c:strRef>
              </c:tx>
              <c:dLblPos val="r"/>
              <c:showVal val="1"/>
            </c:dLbl>
            <c:dLbl>
              <c:idx val="46"/>
              <c:tx>
                <c:strRef>
                  <c:f>small!$B$49</c:f>
                  <c:strCache>
                    <c:ptCount val="1"/>
                  </c:strCache>
                </c:strRef>
              </c:tx>
              <c:dLblPos val="r"/>
              <c:showVal val="1"/>
            </c:dLbl>
            <c:dLbl>
              <c:idx val="47"/>
              <c:tx>
                <c:strRef>
                  <c:f>small!$B$50</c:f>
                  <c:strCache>
                    <c:ptCount val="1"/>
                  </c:strCache>
                </c:strRef>
              </c:tx>
              <c:dLblPos val="r"/>
              <c:showVal val="1"/>
            </c:dLbl>
            <c:dLbl>
              <c:idx val="48"/>
              <c:tx>
                <c:strRef>
                  <c:f>small!$B$51</c:f>
                  <c:strCache>
                    <c:ptCount val="1"/>
                  </c:strCache>
                </c:strRef>
              </c:tx>
              <c:dLblPos val="r"/>
              <c:showVal val="1"/>
            </c:dLbl>
            <c:dLbl>
              <c:idx val="49"/>
              <c:tx>
                <c:strRef>
                  <c:f>small!$B$52</c:f>
                  <c:strCache>
                    <c:ptCount val="1"/>
                  </c:strCache>
                </c:strRef>
              </c:tx>
              <c:dLblPos val="r"/>
              <c:showVal val="1"/>
            </c:dLbl>
            <c:dLbl>
              <c:idx val="50"/>
              <c:tx>
                <c:strRef>
                  <c:f>small!$B$53</c:f>
                  <c:strCache>
                    <c:ptCount val="1"/>
                  </c:strCache>
                </c:strRef>
              </c:tx>
              <c:dLblPos val="r"/>
              <c:showVal val="1"/>
            </c:dLbl>
            <c:dLbl>
              <c:idx val="51"/>
              <c:tx>
                <c:strRef>
                  <c:f>small!$B$54</c:f>
                  <c:strCache>
                    <c:ptCount val="1"/>
                    <c:pt idx="0">
                      <c:v>Niagara</c:v>
                    </c:pt>
                  </c:strCache>
                </c:strRef>
              </c:tx>
              <c:dLblPos val="r"/>
              <c:showVal val="1"/>
            </c:dLbl>
            <c:dLbl>
              <c:idx val="52"/>
              <c:tx>
                <c:strRef>
                  <c:f>small!$B$55</c:f>
                  <c:strCache>
                    <c:ptCount val="1"/>
                    <c:pt idx="0">
                      <c:v>Onondaga</c:v>
                    </c:pt>
                  </c:strCache>
                </c:strRef>
              </c:tx>
              <c:dLblPos val="r"/>
              <c:showVal val="1"/>
            </c:dLbl>
            <c:dLbl>
              <c:idx val="53"/>
              <c:tx>
                <c:strRef>
                  <c:f>small!$B$56</c:f>
                  <c:strCache>
                    <c:ptCount val="1"/>
                    <c:pt idx="0">
                      <c:v>Monroe</c:v>
                    </c:pt>
                  </c:strCache>
                </c:strRef>
              </c:tx>
              <c:dLblPos val="r"/>
              <c:showVal val="1"/>
            </c:dLbl>
            <c:dLbl>
              <c:idx val="54"/>
              <c:tx>
                <c:strRef>
                  <c:f>small!$B$57</c:f>
                  <c:strCache>
                    <c:ptCount val="1"/>
                    <c:pt idx="0">
                      <c:v>Albany</c:v>
                    </c:pt>
                  </c:strCache>
                </c:strRef>
              </c:tx>
              <c:dLblPos val="r"/>
              <c:showVal val="1"/>
            </c:dLbl>
            <c:dLbl>
              <c:idx val="55"/>
              <c:tx>
                <c:strRef>
                  <c:f>small!$B$58</c:f>
                  <c:strCache>
                    <c:ptCount val="1"/>
                    <c:pt idx="0">
                      <c:v>Schenectady</c:v>
                    </c:pt>
                  </c:strCache>
                </c:strRef>
              </c:tx>
              <c:dLblPos val="r"/>
              <c:showVal val="1"/>
            </c:dLbl>
            <c:dLbl>
              <c:idx val="56"/>
              <c:tx>
                <c:strRef>
                  <c:f>small!$B$59</c:f>
                  <c:strCache>
                    <c:ptCount val="1"/>
                    <c:pt idx="0">
                      <c:v>Erie</c:v>
                    </c:pt>
                  </c:strCache>
                </c:strRef>
              </c:tx>
              <c:dLblPos val="r"/>
              <c:showVal val="1"/>
            </c:dLbl>
            <c:txPr>
              <a:bodyPr/>
              <a:lstStyle/>
              <a:p>
                <a:pPr>
                  <a:defRPr sz="800"/>
                </a:pPr>
                <a:endParaRPr lang="en-US"/>
              </a:p>
            </c:txPr>
            <c:dLblPos val="r"/>
            <c:showVal val="1"/>
          </c:dLbls>
          <c:trendline>
            <c:trendlineType val="log"/>
          </c:trendline>
          <c:xVal>
            <c:numRef>
              <c:f>small!$E$3:$E$59</c:f>
              <c:numCache>
                <c:formatCode>0.0</c:formatCode>
                <c:ptCount val="57"/>
                <c:pt idx="0">
                  <c:v>8.0666666666667268</c:v>
                </c:pt>
                <c:pt idx="1">
                  <c:v>6.8181818181817757</c:v>
                </c:pt>
                <c:pt idx="2">
                  <c:v>6.4285714285714288</c:v>
                </c:pt>
                <c:pt idx="3">
                  <c:v>5.7643312101910755</c:v>
                </c:pt>
                <c:pt idx="4">
                  <c:v>5.4</c:v>
                </c:pt>
                <c:pt idx="5">
                  <c:v>4.9024390243902438</c:v>
                </c:pt>
                <c:pt idx="6">
                  <c:v>6.1724137931034484</c:v>
                </c:pt>
                <c:pt idx="7">
                  <c:v>5.1084337349397586</c:v>
                </c:pt>
                <c:pt idx="8">
                  <c:v>3.4</c:v>
                </c:pt>
                <c:pt idx="9">
                  <c:v>6.2037037037037512</c:v>
                </c:pt>
                <c:pt idx="10">
                  <c:v>3.8571428571428572</c:v>
                </c:pt>
                <c:pt idx="11">
                  <c:v>4.8461538461538458</c:v>
                </c:pt>
                <c:pt idx="12">
                  <c:v>5.3111111111111109</c:v>
                </c:pt>
                <c:pt idx="13">
                  <c:v>3.9714285714285587</c:v>
                </c:pt>
                <c:pt idx="14">
                  <c:v>2.9779411764705883</c:v>
                </c:pt>
                <c:pt idx="15">
                  <c:v>5.1511627906976933</c:v>
                </c:pt>
                <c:pt idx="16">
                  <c:v>4.5098039215686434</c:v>
                </c:pt>
                <c:pt idx="17">
                  <c:v>4.3135135135135085</c:v>
                </c:pt>
                <c:pt idx="18">
                  <c:v>4</c:v>
                </c:pt>
                <c:pt idx="19">
                  <c:v>3.7267080745341588</c:v>
                </c:pt>
                <c:pt idx="20">
                  <c:v>5.4324324324324333</c:v>
                </c:pt>
                <c:pt idx="21">
                  <c:v>2.5914062499999999</c:v>
                </c:pt>
                <c:pt idx="22">
                  <c:v>2.6406318560772482</c:v>
                </c:pt>
                <c:pt idx="23">
                  <c:v>3.2816901408450811</c:v>
                </c:pt>
                <c:pt idx="24">
                  <c:v>4.1690140845070385</c:v>
                </c:pt>
                <c:pt idx="25">
                  <c:v>3.5353535353535337</c:v>
                </c:pt>
                <c:pt idx="26">
                  <c:v>3.0279329608938546</c:v>
                </c:pt>
                <c:pt idx="27">
                  <c:v>3.0439560439560442</c:v>
                </c:pt>
                <c:pt idx="28">
                  <c:v>3.2993197278911612</c:v>
                </c:pt>
                <c:pt idx="29">
                  <c:v>2.9396551724137652</c:v>
                </c:pt>
                <c:pt idx="30">
                  <c:v>3.5665024630541708</c:v>
                </c:pt>
                <c:pt idx="31">
                  <c:v>4.1157894736842096</c:v>
                </c:pt>
                <c:pt idx="32">
                  <c:v>3.5044247787610887</c:v>
                </c:pt>
                <c:pt idx="33">
                  <c:v>2.7796610169491531</c:v>
                </c:pt>
                <c:pt idx="34">
                  <c:v>3.1358695652173911</c:v>
                </c:pt>
                <c:pt idx="35">
                  <c:v>3.9901960784313926</c:v>
                </c:pt>
                <c:pt idx="36">
                  <c:v>3.1526717557251906</c:v>
                </c:pt>
                <c:pt idx="37">
                  <c:v>2.75</c:v>
                </c:pt>
                <c:pt idx="38">
                  <c:v>2.9166666666666567</c:v>
                </c:pt>
                <c:pt idx="39">
                  <c:v>3.125</c:v>
                </c:pt>
                <c:pt idx="40">
                  <c:v>2.352253756260434</c:v>
                </c:pt>
                <c:pt idx="41">
                  <c:v>2.7211328976034856</c:v>
                </c:pt>
                <c:pt idx="42">
                  <c:v>3.5663265306122449</c:v>
                </c:pt>
                <c:pt idx="43">
                  <c:v>2.4100096246390561</c:v>
                </c:pt>
                <c:pt idx="44">
                  <c:v>1.9924812030075187</c:v>
                </c:pt>
                <c:pt idx="45">
                  <c:v>2.4883720930232527</c:v>
                </c:pt>
                <c:pt idx="46">
                  <c:v>2.8453038674033202</c:v>
                </c:pt>
                <c:pt idx="47">
                  <c:v>2.1016691957511378</c:v>
                </c:pt>
                <c:pt idx="48">
                  <c:v>1.8732876712328781</c:v>
                </c:pt>
                <c:pt idx="49">
                  <c:v>1.688775510204082</c:v>
                </c:pt>
                <c:pt idx="50">
                  <c:v>1.8853974121996298</c:v>
                </c:pt>
                <c:pt idx="51">
                  <c:v>2.3324538258575167</c:v>
                </c:pt>
                <c:pt idx="52">
                  <c:v>2.2494212962963198</c:v>
                </c:pt>
                <c:pt idx="53">
                  <c:v>1.7130613644154884</c:v>
                </c:pt>
                <c:pt idx="54">
                  <c:v>2.1947169811320792</c:v>
                </c:pt>
                <c:pt idx="55">
                  <c:v>1.6297297297297297</c:v>
                </c:pt>
                <c:pt idx="56">
                  <c:v>1.8319966230476896</c:v>
                </c:pt>
              </c:numCache>
            </c:numRef>
          </c:xVal>
          <c:yVal>
            <c:numRef>
              <c:f>small!$F$3:$F$59</c:f>
              <c:numCache>
                <c:formatCode>0</c:formatCode>
                <c:ptCount val="57"/>
                <c:pt idx="0">
                  <c:v>61.1</c:v>
                </c:pt>
                <c:pt idx="1">
                  <c:v>68.5</c:v>
                </c:pt>
                <c:pt idx="2">
                  <c:v>69.599999999999994</c:v>
                </c:pt>
                <c:pt idx="3">
                  <c:v>72.099999999999994</c:v>
                </c:pt>
                <c:pt idx="4">
                  <c:v>79</c:v>
                </c:pt>
                <c:pt idx="5">
                  <c:v>80.099999999999994</c:v>
                </c:pt>
                <c:pt idx="6">
                  <c:v>83</c:v>
                </c:pt>
                <c:pt idx="7">
                  <c:v>83.1</c:v>
                </c:pt>
                <c:pt idx="8">
                  <c:v>99.3</c:v>
                </c:pt>
                <c:pt idx="9">
                  <c:v>103.5</c:v>
                </c:pt>
                <c:pt idx="10">
                  <c:v>111.1</c:v>
                </c:pt>
                <c:pt idx="11">
                  <c:v>124.6</c:v>
                </c:pt>
                <c:pt idx="12">
                  <c:v>131.1</c:v>
                </c:pt>
                <c:pt idx="13">
                  <c:v>132.6</c:v>
                </c:pt>
                <c:pt idx="14">
                  <c:v>133.9</c:v>
                </c:pt>
                <c:pt idx="15">
                  <c:v>137.69999999999999</c:v>
                </c:pt>
                <c:pt idx="16">
                  <c:v>138.6</c:v>
                </c:pt>
                <c:pt idx="17">
                  <c:v>152.5</c:v>
                </c:pt>
                <c:pt idx="18">
                  <c:v>163.5</c:v>
                </c:pt>
                <c:pt idx="19">
                  <c:v>166.7</c:v>
                </c:pt>
                <c:pt idx="20">
                  <c:v>167</c:v>
                </c:pt>
                <c:pt idx="21">
                  <c:v>168.1</c:v>
                </c:pt>
                <c:pt idx="22">
                  <c:v>168.2</c:v>
                </c:pt>
                <c:pt idx="23">
                  <c:v>168.5</c:v>
                </c:pt>
                <c:pt idx="24">
                  <c:v>172.2</c:v>
                </c:pt>
                <c:pt idx="25">
                  <c:v>180</c:v>
                </c:pt>
                <c:pt idx="26">
                  <c:v>180.1</c:v>
                </c:pt>
                <c:pt idx="27">
                  <c:v>183.5</c:v>
                </c:pt>
                <c:pt idx="28">
                  <c:v>184.2</c:v>
                </c:pt>
                <c:pt idx="29">
                  <c:v>184.3</c:v>
                </c:pt>
                <c:pt idx="30">
                  <c:v>185.3</c:v>
                </c:pt>
                <c:pt idx="31">
                  <c:v>188.7</c:v>
                </c:pt>
                <c:pt idx="32">
                  <c:v>195.8</c:v>
                </c:pt>
                <c:pt idx="33">
                  <c:v>200.2</c:v>
                </c:pt>
                <c:pt idx="34">
                  <c:v>202.3</c:v>
                </c:pt>
                <c:pt idx="35">
                  <c:v>206.7</c:v>
                </c:pt>
                <c:pt idx="36">
                  <c:v>210.4</c:v>
                </c:pt>
                <c:pt idx="37">
                  <c:v>231.7</c:v>
                </c:pt>
                <c:pt idx="38">
                  <c:v>232.8</c:v>
                </c:pt>
                <c:pt idx="39">
                  <c:v>240.2</c:v>
                </c:pt>
                <c:pt idx="40">
                  <c:v>251.1</c:v>
                </c:pt>
                <c:pt idx="41">
                  <c:v>251.8</c:v>
                </c:pt>
                <c:pt idx="42">
                  <c:v>256</c:v>
                </c:pt>
                <c:pt idx="43">
                  <c:v>272.3</c:v>
                </c:pt>
                <c:pt idx="44">
                  <c:v>273.89999999999969</c:v>
                </c:pt>
                <c:pt idx="45">
                  <c:v>276.39999999999969</c:v>
                </c:pt>
                <c:pt idx="46">
                  <c:v>277.89999999999969</c:v>
                </c:pt>
                <c:pt idx="47">
                  <c:v>284.2</c:v>
                </c:pt>
                <c:pt idx="48">
                  <c:v>297.8</c:v>
                </c:pt>
                <c:pt idx="49">
                  <c:v>314.5</c:v>
                </c:pt>
                <c:pt idx="50">
                  <c:v>347.6</c:v>
                </c:pt>
                <c:pt idx="51">
                  <c:v>353.9</c:v>
                </c:pt>
                <c:pt idx="52">
                  <c:v>381.2</c:v>
                </c:pt>
                <c:pt idx="53">
                  <c:v>400.3</c:v>
                </c:pt>
                <c:pt idx="54">
                  <c:v>442</c:v>
                </c:pt>
                <c:pt idx="55">
                  <c:v>489</c:v>
                </c:pt>
                <c:pt idx="56">
                  <c:v>521.4</c:v>
                </c:pt>
              </c:numCache>
            </c:numRef>
          </c:yVal>
          <c:bubbleSize>
            <c:numRef>
              <c:f>small!$G$3:$G$59</c:f>
              <c:numCache>
                <c:formatCode>#,##0</c:formatCode>
                <c:ptCount val="57"/>
                <c:pt idx="0">
                  <c:v>24542</c:v>
                </c:pt>
                <c:pt idx="1">
                  <c:v>32113</c:v>
                </c:pt>
                <c:pt idx="2">
                  <c:v>50281</c:v>
                </c:pt>
                <c:pt idx="3">
                  <c:v>217656</c:v>
                </c:pt>
                <c:pt idx="4">
                  <c:v>18989</c:v>
                </c:pt>
                <c:pt idx="5">
                  <c:v>51170</c:v>
                </c:pt>
                <c:pt idx="6">
                  <c:v>69859</c:v>
                </c:pt>
                <c:pt idx="7">
                  <c:v>99894</c:v>
                </c:pt>
                <c:pt idx="8">
                  <c:v>5036</c:v>
                </c:pt>
                <c:pt idx="9">
                  <c:v>104379</c:v>
                </c:pt>
                <c:pt idx="10">
                  <c:v>63029</c:v>
                </c:pt>
                <c:pt idx="11">
                  <c:v>41742</c:v>
                </c:pt>
                <c:pt idx="12">
                  <c:v>34332</c:v>
                </c:pt>
                <c:pt idx="13">
                  <c:v>26403</c:v>
                </c:pt>
                <c:pt idx="14">
                  <c:v>101591</c:v>
                </c:pt>
                <c:pt idx="15">
                  <c:v>62469</c:v>
                </c:pt>
                <c:pt idx="16">
                  <c:v>36790</c:v>
                </c:pt>
                <c:pt idx="17">
                  <c:v>121286</c:v>
                </c:pt>
                <c:pt idx="18">
                  <c:v>45266</c:v>
                </c:pt>
                <c:pt idx="19">
                  <c:v>96608</c:v>
                </c:pt>
                <c:pt idx="20">
                  <c:v>66478</c:v>
                </c:pt>
                <c:pt idx="21">
                  <c:v>1522727</c:v>
                </c:pt>
                <c:pt idx="22">
                  <c:v>1354833</c:v>
                </c:pt>
                <c:pt idx="23">
                  <c:v>42138</c:v>
                </c:pt>
                <c:pt idx="24">
                  <c:v>82475</c:v>
                </c:pt>
                <c:pt idx="25">
                  <c:v>55012</c:v>
                </c:pt>
                <c:pt idx="26">
                  <c:v>298129</c:v>
                </c:pt>
                <c:pt idx="27">
                  <c:v>49594</c:v>
                </c:pt>
                <c:pt idx="28">
                  <c:v>79812</c:v>
                </c:pt>
                <c:pt idx="29">
                  <c:v>62944</c:v>
                </c:pt>
                <c:pt idx="30">
                  <c:v>109530</c:v>
                </c:pt>
                <c:pt idx="31">
                  <c:v>50353</c:v>
                </c:pt>
                <c:pt idx="32">
                  <c:v>57721</c:v>
                </c:pt>
                <c:pt idx="33">
                  <c:v>117896</c:v>
                </c:pt>
                <c:pt idx="34">
                  <c:v>90960</c:v>
                </c:pt>
                <c:pt idx="35">
                  <c:v>49358</c:v>
                </c:pt>
                <c:pt idx="36">
                  <c:v>62256</c:v>
                </c:pt>
                <c:pt idx="37">
                  <c:v>48328</c:v>
                </c:pt>
                <c:pt idx="38">
                  <c:v>87619</c:v>
                </c:pt>
                <c:pt idx="39">
                  <c:v>133217</c:v>
                </c:pt>
                <c:pt idx="40">
                  <c:v>954255</c:v>
                </c:pt>
                <c:pt idx="41">
                  <c:v>182305</c:v>
                </c:pt>
                <c:pt idx="42">
                  <c:v>76571</c:v>
                </c:pt>
                <c:pt idx="43">
                  <c:v>381554</c:v>
                </c:pt>
                <c:pt idx="44">
                  <c:v>48560</c:v>
                </c:pt>
                <c:pt idx="45">
                  <c:v>77775</c:v>
                </c:pt>
                <c:pt idx="46">
                  <c:v>195377</c:v>
                </c:pt>
                <c:pt idx="47">
                  <c:v>231868</c:v>
                </c:pt>
                <c:pt idx="48">
                  <c:v>294181</c:v>
                </c:pt>
                <c:pt idx="49">
                  <c:v>62313</c:v>
                </c:pt>
                <c:pt idx="50">
                  <c:v>155621</c:v>
                </c:pt>
                <c:pt idx="51">
                  <c:v>214193</c:v>
                </c:pt>
                <c:pt idx="52">
                  <c:v>453316</c:v>
                </c:pt>
                <c:pt idx="53">
                  <c:v>728695</c:v>
                </c:pt>
                <c:pt idx="54">
                  <c:v>299789</c:v>
                </c:pt>
                <c:pt idx="55">
                  <c:v>151325</c:v>
                </c:pt>
                <c:pt idx="56">
                  <c:v>908651</c:v>
                </c:pt>
              </c:numCache>
            </c:numRef>
          </c:bubbleSize>
        </c:ser>
        <c:bubbleScale val="25"/>
        <c:axId val="255597952"/>
        <c:axId val="255612800"/>
      </c:bubbleChart>
      <c:valAx>
        <c:axId val="255597952"/>
        <c:scaling>
          <c:orientation val="minMax"/>
          <c:max val="8.5"/>
          <c:min val="1.5"/>
        </c:scaling>
        <c:axPos val="b"/>
        <c:title>
          <c:tx>
            <c:rich>
              <a:bodyPr/>
              <a:lstStyle/>
              <a:p>
                <a:pPr>
                  <a:defRPr sz="900" b="1"/>
                </a:pPr>
                <a:r>
                  <a:rPr lang="en-US" sz="900" b="1"/>
                  <a:t>Felony Arrests </a:t>
                </a:r>
                <a:r>
                  <a:rPr lang="en-US" sz="900" b="1" baseline="0"/>
                  <a:t> /</a:t>
                </a:r>
                <a:r>
                  <a:rPr lang="en-US" sz="900" b="1"/>
                  <a:t> Violent Crimes</a:t>
                </a:r>
              </a:p>
            </c:rich>
          </c:tx>
        </c:title>
        <c:numFmt formatCode="0.0" sourceLinked="1"/>
        <c:tickLblPos val="nextTo"/>
        <c:spPr>
          <a:ln>
            <a:solidFill>
              <a:sysClr val="windowText" lastClr="000000"/>
            </a:solidFill>
          </a:ln>
        </c:spPr>
        <c:txPr>
          <a:bodyPr/>
          <a:lstStyle/>
          <a:p>
            <a:pPr>
              <a:defRPr sz="900"/>
            </a:pPr>
            <a:endParaRPr lang="en-US"/>
          </a:p>
        </c:txPr>
        <c:crossAx val="255612800"/>
        <c:crosses val="autoZero"/>
        <c:crossBetween val="midCat"/>
        <c:majorUnit val="2"/>
      </c:valAx>
      <c:valAx>
        <c:axId val="255612800"/>
        <c:scaling>
          <c:orientation val="minMax"/>
          <c:max val="600"/>
          <c:min val="0"/>
        </c:scaling>
        <c:axPos val="l"/>
        <c:title>
          <c:tx>
            <c:rich>
              <a:bodyPr rot="-5400000" vert="horz"/>
              <a:lstStyle/>
              <a:p>
                <a:pPr>
                  <a:defRPr sz="900" b="1"/>
                </a:pPr>
                <a:r>
                  <a:rPr lang="en-US" sz="900" b="1"/>
                  <a:t>Violent Crime Rate</a:t>
                </a:r>
              </a:p>
            </c:rich>
          </c:tx>
        </c:title>
        <c:numFmt formatCode="0" sourceLinked="1"/>
        <c:tickLblPos val="nextTo"/>
        <c:spPr>
          <a:ln>
            <a:solidFill>
              <a:sysClr val="windowText" lastClr="000000"/>
            </a:solidFill>
          </a:ln>
        </c:spPr>
        <c:txPr>
          <a:bodyPr/>
          <a:lstStyle/>
          <a:p>
            <a:pPr>
              <a:defRPr sz="900"/>
            </a:pPr>
            <a:endParaRPr lang="en-US"/>
          </a:p>
        </c:txPr>
        <c:crossAx val="255597952"/>
        <c:crosses val="autoZero"/>
        <c:crossBetween val="midCat"/>
        <c:majorUnit val="200"/>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3.4003649172106459E-3"/>
          <c:y val="0.15660639858770548"/>
          <c:w val="0.9226711163057868"/>
          <c:h val="0.74138593199235359"/>
        </c:manualLayout>
      </c:layout>
      <c:barChart>
        <c:barDir val="col"/>
        <c:grouping val="stacked"/>
        <c:ser>
          <c:idx val="2"/>
          <c:order val="2"/>
          <c:tx>
            <c:strRef>
              <c:f>Sheet2!$B$45</c:f>
              <c:strCache>
                <c:ptCount val="1"/>
                <c:pt idx="0">
                  <c:v>Minimum</c:v>
                </c:pt>
              </c:strCache>
            </c:strRef>
          </c:tx>
          <c:spPr>
            <a:noFill/>
            <a:ln w="25400">
              <a:noFill/>
            </a:ln>
          </c:spPr>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Sheet2!$C$45:$Y$45</c:f>
              <c:numCache>
                <c:formatCode>General</c:formatCode>
                <c:ptCount val="23"/>
                <c:pt idx="0">
                  <c:v>167.4</c:v>
                </c:pt>
                <c:pt idx="1">
                  <c:v>140.80000000000001</c:v>
                </c:pt>
                <c:pt idx="2">
                  <c:v>134.19999999999999</c:v>
                </c:pt>
                <c:pt idx="3">
                  <c:v>166.6</c:v>
                </c:pt>
                <c:pt idx="4">
                  <c:v>195.2</c:v>
                </c:pt>
                <c:pt idx="5">
                  <c:v>229.5</c:v>
                </c:pt>
                <c:pt idx="6">
                  <c:v>240.3</c:v>
                </c:pt>
                <c:pt idx="7">
                  <c:v>272.10000000000002</c:v>
                </c:pt>
                <c:pt idx="8">
                  <c:v>268.2</c:v>
                </c:pt>
                <c:pt idx="9">
                  <c:v>270.89999999999969</c:v>
                </c:pt>
                <c:pt idx="10">
                  <c:v>222</c:v>
                </c:pt>
                <c:pt idx="11">
                  <c:v>244.4</c:v>
                </c:pt>
                <c:pt idx="12">
                  <c:v>239.7</c:v>
                </c:pt>
                <c:pt idx="13">
                  <c:v>222.3</c:v>
                </c:pt>
                <c:pt idx="14">
                  <c:v>219.4</c:v>
                </c:pt>
                <c:pt idx="15">
                  <c:v>221.7</c:v>
                </c:pt>
                <c:pt idx="16">
                  <c:v>194.5</c:v>
                </c:pt>
                <c:pt idx="17">
                  <c:v>219.1</c:v>
                </c:pt>
                <c:pt idx="18">
                  <c:v>212.1</c:v>
                </c:pt>
                <c:pt idx="19">
                  <c:v>203.3</c:v>
                </c:pt>
                <c:pt idx="20">
                  <c:v>185.8</c:v>
                </c:pt>
                <c:pt idx="21">
                  <c:v>245.1</c:v>
                </c:pt>
                <c:pt idx="22">
                  <c:v>235.2</c:v>
                </c:pt>
              </c:numCache>
            </c:numRef>
          </c:val>
        </c:ser>
        <c:ser>
          <c:idx val="3"/>
          <c:order val="3"/>
          <c:tx>
            <c:strRef>
              <c:f>Sheet2!$B$46</c:f>
              <c:strCache>
                <c:ptCount val="1"/>
                <c:pt idx="0">
                  <c:v>First Quartile</c:v>
                </c:pt>
              </c:strCache>
            </c:strRef>
          </c:tx>
          <c:spPr>
            <a:noFill/>
            <a:ln w="25400">
              <a:noFill/>
            </a:ln>
          </c:spPr>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Sheet2!$C$46:$Y$46</c:f>
              <c:numCache>
                <c:formatCode>General</c:formatCode>
                <c:ptCount val="23"/>
                <c:pt idx="0">
                  <c:v>460.80000000000007</c:v>
                </c:pt>
                <c:pt idx="1">
                  <c:v>574.40000000000009</c:v>
                </c:pt>
                <c:pt idx="2">
                  <c:v>542.20000000000005</c:v>
                </c:pt>
                <c:pt idx="3">
                  <c:v>565.1</c:v>
                </c:pt>
                <c:pt idx="4">
                  <c:v>527</c:v>
                </c:pt>
                <c:pt idx="5">
                  <c:v>555.9</c:v>
                </c:pt>
                <c:pt idx="6">
                  <c:v>592.90000000000009</c:v>
                </c:pt>
                <c:pt idx="7">
                  <c:v>661.9</c:v>
                </c:pt>
                <c:pt idx="8">
                  <c:v>650.59999999999991</c:v>
                </c:pt>
                <c:pt idx="9">
                  <c:v>680.5</c:v>
                </c:pt>
                <c:pt idx="10">
                  <c:v>639.29999999999995</c:v>
                </c:pt>
                <c:pt idx="11">
                  <c:v>560</c:v>
                </c:pt>
                <c:pt idx="12">
                  <c:v>534.82499999999948</c:v>
                </c:pt>
                <c:pt idx="13">
                  <c:v>412.84999999999997</c:v>
                </c:pt>
                <c:pt idx="14">
                  <c:v>379</c:v>
                </c:pt>
                <c:pt idx="15">
                  <c:v>382.00000000000006</c:v>
                </c:pt>
                <c:pt idx="16">
                  <c:v>419.1</c:v>
                </c:pt>
                <c:pt idx="17">
                  <c:v>414</c:v>
                </c:pt>
                <c:pt idx="18">
                  <c:v>376.5</c:v>
                </c:pt>
                <c:pt idx="19">
                  <c:v>376.8</c:v>
                </c:pt>
                <c:pt idx="20">
                  <c:v>411.09999999999923</c:v>
                </c:pt>
                <c:pt idx="21">
                  <c:v>368.4</c:v>
                </c:pt>
                <c:pt idx="22">
                  <c:v>361.8</c:v>
                </c:pt>
              </c:numCache>
            </c:numRef>
          </c:val>
        </c:ser>
        <c:ser>
          <c:idx val="4"/>
          <c:order val="4"/>
          <c:tx>
            <c:strRef>
              <c:f>Sheet2!$B$47</c:f>
              <c:strCache>
                <c:ptCount val="1"/>
                <c:pt idx="0">
                  <c:v>Inter Quartile</c:v>
                </c:pt>
              </c:strCache>
            </c:strRef>
          </c:tx>
          <c:spPr>
            <a:solidFill>
              <a:schemeClr val="bg1">
                <a:lumMod val="65000"/>
              </a:schemeClr>
            </a:solidFill>
            <a:ln w="25400">
              <a:noFill/>
            </a:ln>
          </c:spPr>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Sheet2!$C$47:$Y$47</c:f>
              <c:numCache>
                <c:formatCode>General</c:formatCode>
                <c:ptCount val="23"/>
                <c:pt idx="0">
                  <c:v>689.09999999999991</c:v>
                </c:pt>
                <c:pt idx="1">
                  <c:v>789.89999999999986</c:v>
                </c:pt>
                <c:pt idx="2">
                  <c:v>774.80000000000007</c:v>
                </c:pt>
                <c:pt idx="3">
                  <c:v>750.10000000000014</c:v>
                </c:pt>
                <c:pt idx="4">
                  <c:v>798.09999999999991</c:v>
                </c:pt>
                <c:pt idx="5">
                  <c:v>963.00000000000011</c:v>
                </c:pt>
                <c:pt idx="6">
                  <c:v>998.7</c:v>
                </c:pt>
                <c:pt idx="7">
                  <c:v>805.40000000000009</c:v>
                </c:pt>
                <c:pt idx="8">
                  <c:v>848.90000000000009</c:v>
                </c:pt>
                <c:pt idx="9">
                  <c:v>675.4</c:v>
                </c:pt>
                <c:pt idx="10">
                  <c:v>784.90000000000009</c:v>
                </c:pt>
                <c:pt idx="11">
                  <c:v>730.6</c:v>
                </c:pt>
                <c:pt idx="12">
                  <c:v>619.72500000000002</c:v>
                </c:pt>
                <c:pt idx="13">
                  <c:v>684.30000000000007</c:v>
                </c:pt>
                <c:pt idx="14">
                  <c:v>640.4</c:v>
                </c:pt>
                <c:pt idx="15">
                  <c:v>615.5</c:v>
                </c:pt>
                <c:pt idx="16">
                  <c:v>629.9</c:v>
                </c:pt>
                <c:pt idx="17">
                  <c:v>589.99999999999989</c:v>
                </c:pt>
                <c:pt idx="18">
                  <c:v>604.49999999999989</c:v>
                </c:pt>
                <c:pt idx="19">
                  <c:v>612.30000000000007</c:v>
                </c:pt>
                <c:pt idx="20">
                  <c:v>624.00000000000011</c:v>
                </c:pt>
                <c:pt idx="21">
                  <c:v>607.40000000000009</c:v>
                </c:pt>
                <c:pt idx="22">
                  <c:v>581.70000000000005</c:v>
                </c:pt>
              </c:numCache>
            </c:numRef>
          </c:val>
        </c:ser>
        <c:ser>
          <c:idx val="5"/>
          <c:order val="5"/>
          <c:tx>
            <c:strRef>
              <c:f>Sheet2!$B$49</c:f>
              <c:strCache>
                <c:ptCount val="1"/>
                <c:pt idx="0">
                  <c:v>Maximum</c:v>
                </c:pt>
              </c:strCache>
            </c:strRef>
          </c:tx>
          <c:spPr>
            <a:noFill/>
            <a:ln w="25400">
              <a:noFill/>
            </a:ln>
          </c:spPr>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Sheet2!$C$49:$Y$49</c:f>
              <c:numCache>
                <c:formatCode>General</c:formatCode>
                <c:ptCount val="23"/>
                <c:pt idx="0">
                  <c:v>1.0000000000007479E-300</c:v>
                </c:pt>
                <c:pt idx="1">
                  <c:v>1.0000000000007479E-300</c:v>
                </c:pt>
                <c:pt idx="2">
                  <c:v>1.0000000000007479E-300</c:v>
                </c:pt>
                <c:pt idx="3">
                  <c:v>1.0000000000007479E-300</c:v>
                </c:pt>
                <c:pt idx="4">
                  <c:v>1.0000000000007479E-300</c:v>
                </c:pt>
                <c:pt idx="5">
                  <c:v>1.0000000000007479E-300</c:v>
                </c:pt>
                <c:pt idx="6">
                  <c:v>1.0000000000007479E-300</c:v>
                </c:pt>
                <c:pt idx="7">
                  <c:v>1.0000000000007479E-300</c:v>
                </c:pt>
                <c:pt idx="8">
                  <c:v>1.0000000000007479E-300</c:v>
                </c:pt>
                <c:pt idx="9">
                  <c:v>1.0000000000007479E-300</c:v>
                </c:pt>
                <c:pt idx="10">
                  <c:v>1.0000000000007479E-300</c:v>
                </c:pt>
                <c:pt idx="11">
                  <c:v>1.0000000000007479E-300</c:v>
                </c:pt>
                <c:pt idx="12">
                  <c:v>1.0000000000007479E-300</c:v>
                </c:pt>
                <c:pt idx="13">
                  <c:v>1.0000000000007479E-300</c:v>
                </c:pt>
                <c:pt idx="14">
                  <c:v>1.0000000000007479E-300</c:v>
                </c:pt>
                <c:pt idx="15">
                  <c:v>1.0000000000007479E-300</c:v>
                </c:pt>
                <c:pt idx="16">
                  <c:v>1.0000000000007479E-300</c:v>
                </c:pt>
                <c:pt idx="17">
                  <c:v>1.0000000000007479E-300</c:v>
                </c:pt>
                <c:pt idx="18">
                  <c:v>1.0000000000007479E-300</c:v>
                </c:pt>
                <c:pt idx="19">
                  <c:v>1.0000000000007479E-300</c:v>
                </c:pt>
                <c:pt idx="20">
                  <c:v>1.0000000000007479E-300</c:v>
                </c:pt>
                <c:pt idx="21">
                  <c:v>1.0000000000007479E-300</c:v>
                </c:pt>
                <c:pt idx="22">
                  <c:v>1.0000000000007479E-300</c:v>
                </c:pt>
              </c:numCache>
            </c:numRef>
          </c:val>
        </c:ser>
        <c:ser>
          <c:idx val="6"/>
          <c:order val="6"/>
          <c:tx>
            <c:strRef>
              <c:f>Sheet2!$B$50</c:f>
              <c:strCache>
                <c:ptCount val="1"/>
                <c:pt idx="0">
                  <c:v>Fourth Quartile -</c:v>
                </c:pt>
              </c:strCache>
            </c:strRef>
          </c:tx>
          <c:spPr>
            <a:noFill/>
            <a:ln w="25400">
              <a:noFill/>
            </a:ln>
          </c:spPr>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Sheet2!$C$50:$Y$50</c:f>
              <c:numCache>
                <c:formatCode>General</c:formatCode>
                <c:ptCount val="23"/>
                <c:pt idx="0">
                  <c:v>1.0000000000007479E-300</c:v>
                </c:pt>
                <c:pt idx="1">
                  <c:v>1.0000000000007479E-300</c:v>
                </c:pt>
                <c:pt idx="2">
                  <c:v>1.0000000000007479E-300</c:v>
                </c:pt>
                <c:pt idx="3">
                  <c:v>1.0000000000007479E-300</c:v>
                </c:pt>
                <c:pt idx="4">
                  <c:v>1.0000000000007479E-300</c:v>
                </c:pt>
                <c:pt idx="5">
                  <c:v>1.0000000000007479E-300</c:v>
                </c:pt>
                <c:pt idx="6">
                  <c:v>1.0000000000007479E-300</c:v>
                </c:pt>
                <c:pt idx="7">
                  <c:v>1.0000000000007479E-300</c:v>
                </c:pt>
                <c:pt idx="8">
                  <c:v>1.0000000000007479E-300</c:v>
                </c:pt>
                <c:pt idx="9">
                  <c:v>1.0000000000007479E-300</c:v>
                </c:pt>
                <c:pt idx="10">
                  <c:v>1.0000000000007479E-300</c:v>
                </c:pt>
                <c:pt idx="11">
                  <c:v>1.0000000000007479E-300</c:v>
                </c:pt>
                <c:pt idx="12">
                  <c:v>1.0000000000007479E-300</c:v>
                </c:pt>
                <c:pt idx="13">
                  <c:v>1.0000000000007479E-300</c:v>
                </c:pt>
                <c:pt idx="14">
                  <c:v>1.0000000000007479E-300</c:v>
                </c:pt>
                <c:pt idx="15">
                  <c:v>1.0000000000007479E-300</c:v>
                </c:pt>
                <c:pt idx="16">
                  <c:v>1.0000000000007479E-300</c:v>
                </c:pt>
                <c:pt idx="17">
                  <c:v>1.0000000000007479E-300</c:v>
                </c:pt>
                <c:pt idx="18">
                  <c:v>1.0000000000007479E-300</c:v>
                </c:pt>
                <c:pt idx="19">
                  <c:v>1.0000000000007479E-300</c:v>
                </c:pt>
                <c:pt idx="20">
                  <c:v>1.0000000000007479E-300</c:v>
                </c:pt>
                <c:pt idx="21">
                  <c:v>1.0000000000007479E-300</c:v>
                </c:pt>
                <c:pt idx="22">
                  <c:v>1.0000000000007479E-300</c:v>
                </c:pt>
              </c:numCache>
            </c:numRef>
          </c:val>
        </c:ser>
        <c:ser>
          <c:idx val="7"/>
          <c:order val="7"/>
          <c:tx>
            <c:strRef>
              <c:f>Sheet2!$B$51</c:f>
              <c:strCache>
                <c:ptCount val="1"/>
                <c:pt idx="0">
                  <c:v>Inter Quartile -</c:v>
                </c:pt>
              </c:strCache>
            </c:strRef>
          </c:tx>
          <c:spPr>
            <a:solidFill>
              <a:srgbClr val="C0C0C0"/>
            </a:solidFill>
            <a:ln w="25400">
              <a:noFill/>
            </a:ln>
          </c:spPr>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Sheet2!$C$51:$Y$51</c:f>
              <c:numCache>
                <c:formatCode>General</c:formatCode>
                <c:ptCount val="23"/>
                <c:pt idx="0">
                  <c:v>1.0000000000007479E-300</c:v>
                </c:pt>
                <c:pt idx="1">
                  <c:v>1.0000000000007479E-300</c:v>
                </c:pt>
                <c:pt idx="2">
                  <c:v>1.0000000000007479E-300</c:v>
                </c:pt>
                <c:pt idx="3">
                  <c:v>1.0000000000007479E-300</c:v>
                </c:pt>
                <c:pt idx="4">
                  <c:v>1.0000000000007479E-300</c:v>
                </c:pt>
                <c:pt idx="5">
                  <c:v>1.0000000000007479E-300</c:v>
                </c:pt>
                <c:pt idx="6">
                  <c:v>1.0000000000007479E-300</c:v>
                </c:pt>
                <c:pt idx="7">
                  <c:v>1.0000000000007479E-300</c:v>
                </c:pt>
                <c:pt idx="8">
                  <c:v>1.0000000000007479E-300</c:v>
                </c:pt>
                <c:pt idx="9">
                  <c:v>1.0000000000007479E-300</c:v>
                </c:pt>
                <c:pt idx="10">
                  <c:v>1.0000000000007479E-300</c:v>
                </c:pt>
                <c:pt idx="11">
                  <c:v>1.0000000000007479E-300</c:v>
                </c:pt>
                <c:pt idx="12">
                  <c:v>1.0000000000007479E-300</c:v>
                </c:pt>
                <c:pt idx="13">
                  <c:v>1.0000000000007479E-300</c:v>
                </c:pt>
                <c:pt idx="14">
                  <c:v>1.0000000000007479E-300</c:v>
                </c:pt>
                <c:pt idx="15">
                  <c:v>1.0000000000007479E-300</c:v>
                </c:pt>
                <c:pt idx="16">
                  <c:v>1.0000000000007479E-300</c:v>
                </c:pt>
                <c:pt idx="17">
                  <c:v>1.0000000000007479E-300</c:v>
                </c:pt>
                <c:pt idx="18">
                  <c:v>1.0000000000007479E-300</c:v>
                </c:pt>
                <c:pt idx="19">
                  <c:v>1.0000000000007479E-300</c:v>
                </c:pt>
                <c:pt idx="20">
                  <c:v>1.0000000000007479E-300</c:v>
                </c:pt>
                <c:pt idx="21">
                  <c:v>1.0000000000007479E-300</c:v>
                </c:pt>
                <c:pt idx="22">
                  <c:v>1.0000000000007479E-300</c:v>
                </c:pt>
              </c:numCache>
            </c:numRef>
          </c:val>
        </c:ser>
        <c:gapWidth val="100"/>
        <c:overlap val="100"/>
        <c:axId val="259537152"/>
        <c:axId val="268138752"/>
      </c:barChart>
      <c:lineChart>
        <c:grouping val="standard"/>
        <c:ser>
          <c:idx val="0"/>
          <c:order val="0"/>
          <c:tx>
            <c:strRef>
              <c:f>Sheet2!$B$24</c:f>
              <c:strCache>
                <c:ptCount val="1"/>
                <c:pt idx="0">
                  <c:v>1 Q</c:v>
                </c:pt>
              </c:strCache>
            </c:strRef>
          </c:tx>
          <c:spPr>
            <a:ln w="28575">
              <a:noFill/>
            </a:ln>
          </c:spPr>
          <c:marker>
            <c:symbol val="none"/>
          </c:marker>
          <c:errBars>
            <c:errDir val="y"/>
            <c:errBarType val="minus"/>
            <c:errValType val="cust"/>
            <c:minus>
              <c:numRef>
                <c:f>Sheet2!$C$54:$Y$54</c:f>
                <c:numCache>
                  <c:formatCode>General</c:formatCode>
                  <c:ptCount val="23"/>
                  <c:pt idx="0">
                    <c:v>460.80000000000007</c:v>
                  </c:pt>
                  <c:pt idx="1">
                    <c:v>574.40000000000009</c:v>
                  </c:pt>
                  <c:pt idx="2">
                    <c:v>542.20000000000005</c:v>
                  </c:pt>
                  <c:pt idx="3">
                    <c:v>565.1</c:v>
                  </c:pt>
                  <c:pt idx="4">
                    <c:v>527</c:v>
                  </c:pt>
                  <c:pt idx="5">
                    <c:v>555.9</c:v>
                  </c:pt>
                  <c:pt idx="6">
                    <c:v>592.90000000000009</c:v>
                  </c:pt>
                  <c:pt idx="7">
                    <c:v>661.9</c:v>
                  </c:pt>
                  <c:pt idx="8">
                    <c:v>650.59999999999991</c:v>
                  </c:pt>
                  <c:pt idx="9">
                    <c:v>680.5</c:v>
                  </c:pt>
                  <c:pt idx="10">
                    <c:v>639.29999999999995</c:v>
                  </c:pt>
                  <c:pt idx="11">
                    <c:v>560</c:v>
                  </c:pt>
                  <c:pt idx="12">
                    <c:v>534.82499999999948</c:v>
                  </c:pt>
                  <c:pt idx="13">
                    <c:v>412.84999999999997</c:v>
                  </c:pt>
                  <c:pt idx="14">
                    <c:v>379</c:v>
                  </c:pt>
                  <c:pt idx="15">
                    <c:v>382.00000000000006</c:v>
                  </c:pt>
                  <c:pt idx="16">
                    <c:v>419.1</c:v>
                  </c:pt>
                  <c:pt idx="17">
                    <c:v>414</c:v>
                  </c:pt>
                  <c:pt idx="18">
                    <c:v>376.5</c:v>
                  </c:pt>
                  <c:pt idx="19">
                    <c:v>376.8</c:v>
                  </c:pt>
                  <c:pt idx="20">
                    <c:v>411.09999999999923</c:v>
                  </c:pt>
                  <c:pt idx="21">
                    <c:v>368.4</c:v>
                  </c:pt>
                  <c:pt idx="22">
                    <c:v>361.8</c:v>
                  </c:pt>
                </c:numCache>
              </c:numRef>
            </c:minus>
          </c:errBars>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Sheet2!$C$24:$Y$24</c:f>
              <c:numCache>
                <c:formatCode>General</c:formatCode>
                <c:ptCount val="23"/>
                <c:pt idx="0">
                  <c:v>628.20000000000005</c:v>
                </c:pt>
                <c:pt idx="1">
                  <c:v>715.2</c:v>
                </c:pt>
                <c:pt idx="2">
                  <c:v>676.4</c:v>
                </c:pt>
                <c:pt idx="3">
                  <c:v>731.7</c:v>
                </c:pt>
                <c:pt idx="4">
                  <c:v>722.2</c:v>
                </c:pt>
                <c:pt idx="5">
                  <c:v>785.4</c:v>
                </c:pt>
                <c:pt idx="6">
                  <c:v>833.2</c:v>
                </c:pt>
                <c:pt idx="7">
                  <c:v>934</c:v>
                </c:pt>
                <c:pt idx="8">
                  <c:v>918.8</c:v>
                </c:pt>
                <c:pt idx="9">
                  <c:v>951.4</c:v>
                </c:pt>
                <c:pt idx="10">
                  <c:v>861.3</c:v>
                </c:pt>
                <c:pt idx="11">
                  <c:v>804.4</c:v>
                </c:pt>
                <c:pt idx="12">
                  <c:v>774.52499999999998</c:v>
                </c:pt>
                <c:pt idx="13">
                  <c:v>635.15</c:v>
                </c:pt>
                <c:pt idx="14">
                  <c:v>598.4</c:v>
                </c:pt>
                <c:pt idx="15">
                  <c:v>603.70000000000005</c:v>
                </c:pt>
                <c:pt idx="16">
                  <c:v>613.6</c:v>
                </c:pt>
                <c:pt idx="17">
                  <c:v>633.1</c:v>
                </c:pt>
                <c:pt idx="18">
                  <c:v>588.6</c:v>
                </c:pt>
                <c:pt idx="19">
                  <c:v>580.1</c:v>
                </c:pt>
                <c:pt idx="20">
                  <c:v>596.9</c:v>
                </c:pt>
                <c:pt idx="21">
                  <c:v>613.5</c:v>
                </c:pt>
                <c:pt idx="22">
                  <c:v>597</c:v>
                </c:pt>
              </c:numCache>
            </c:numRef>
          </c:val>
        </c:ser>
        <c:ser>
          <c:idx val="1"/>
          <c:order val="1"/>
          <c:tx>
            <c:strRef>
              <c:f>Sheet2!$B$26</c:f>
              <c:strCache>
                <c:ptCount val="1"/>
                <c:pt idx="0">
                  <c:v>3 Q</c:v>
                </c:pt>
              </c:strCache>
            </c:strRef>
          </c:tx>
          <c:spPr>
            <a:ln w="28575">
              <a:noFill/>
            </a:ln>
          </c:spPr>
          <c:marker>
            <c:symbol val="none"/>
          </c:marker>
          <c:errBars>
            <c:errDir val="y"/>
            <c:errBarType val="plus"/>
            <c:errValType val="cust"/>
            <c:plus>
              <c:numRef>
                <c:f>Sheet2!$C$53:$Y$53</c:f>
                <c:numCache>
                  <c:formatCode>General</c:formatCode>
                  <c:ptCount val="23"/>
                  <c:pt idx="0">
                    <c:v>1031.5999999999999</c:v>
                  </c:pt>
                  <c:pt idx="1">
                    <c:v>981.5</c:v>
                  </c:pt>
                  <c:pt idx="2">
                    <c:v>1093.7</c:v>
                  </c:pt>
                  <c:pt idx="3">
                    <c:v>983.19999999999982</c:v>
                  </c:pt>
                  <c:pt idx="4">
                    <c:v>880.2</c:v>
                  </c:pt>
                  <c:pt idx="5">
                    <c:v>1256.5</c:v>
                  </c:pt>
                  <c:pt idx="6">
                    <c:v>1436.5</c:v>
                  </c:pt>
                  <c:pt idx="7">
                    <c:v>1145.9000000000001</c:v>
                  </c:pt>
                  <c:pt idx="8">
                    <c:v>1226.3</c:v>
                  </c:pt>
                  <c:pt idx="9">
                    <c:v>808.50000000000023</c:v>
                  </c:pt>
                  <c:pt idx="10">
                    <c:v>1015.3999999999999</c:v>
                  </c:pt>
                  <c:pt idx="11">
                    <c:v>934.80000000000018</c:v>
                  </c:pt>
                  <c:pt idx="12">
                    <c:v>867.84999999999798</c:v>
                  </c:pt>
                  <c:pt idx="13">
                    <c:v>859.05</c:v>
                  </c:pt>
                  <c:pt idx="14">
                    <c:v>574.90000000000009</c:v>
                  </c:pt>
                  <c:pt idx="15">
                    <c:v>407.09999999999923</c:v>
                  </c:pt>
                  <c:pt idx="16">
                    <c:v>944.09999999999991</c:v>
                  </c:pt>
                  <c:pt idx="17">
                    <c:v>849.7000000000005</c:v>
                  </c:pt>
                  <c:pt idx="18">
                    <c:v>825.10000000000014</c:v>
                  </c:pt>
                  <c:pt idx="19">
                    <c:v>883.40000000000009</c:v>
                  </c:pt>
                  <c:pt idx="20">
                    <c:v>640.29999999999995</c:v>
                  </c:pt>
                  <c:pt idx="21">
                    <c:v>770.09999999999991</c:v>
                  </c:pt>
                  <c:pt idx="22">
                    <c:v>772</c:v>
                  </c:pt>
                </c:numCache>
              </c:numRef>
            </c:plus>
          </c:errBars>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Sheet2!$C$26:$Y$26</c:f>
              <c:numCache>
                <c:formatCode>General</c:formatCode>
                <c:ptCount val="23"/>
                <c:pt idx="0">
                  <c:v>1317.3</c:v>
                </c:pt>
                <c:pt idx="1">
                  <c:v>1505.1</c:v>
                </c:pt>
                <c:pt idx="2">
                  <c:v>1451.2</c:v>
                </c:pt>
                <c:pt idx="3">
                  <c:v>1481.8000000000002</c:v>
                </c:pt>
                <c:pt idx="4">
                  <c:v>1520.3</c:v>
                </c:pt>
                <c:pt idx="5">
                  <c:v>1748.4</c:v>
                </c:pt>
                <c:pt idx="6">
                  <c:v>1831.9</c:v>
                </c:pt>
                <c:pt idx="7">
                  <c:v>1739.4</c:v>
                </c:pt>
                <c:pt idx="8">
                  <c:v>1767.7</c:v>
                </c:pt>
                <c:pt idx="9">
                  <c:v>1626.8</c:v>
                </c:pt>
                <c:pt idx="10">
                  <c:v>1646.2</c:v>
                </c:pt>
                <c:pt idx="11">
                  <c:v>1535</c:v>
                </c:pt>
                <c:pt idx="12">
                  <c:v>1394.25</c:v>
                </c:pt>
                <c:pt idx="13">
                  <c:v>1319.45</c:v>
                </c:pt>
                <c:pt idx="14">
                  <c:v>1238.8</c:v>
                </c:pt>
                <c:pt idx="15">
                  <c:v>1219.2</c:v>
                </c:pt>
                <c:pt idx="16">
                  <c:v>1243.5</c:v>
                </c:pt>
                <c:pt idx="17">
                  <c:v>1223.0999999999999</c:v>
                </c:pt>
                <c:pt idx="18">
                  <c:v>1193.0999999999999</c:v>
                </c:pt>
                <c:pt idx="19">
                  <c:v>1192.4000000000001</c:v>
                </c:pt>
                <c:pt idx="20">
                  <c:v>1220.9000000000001</c:v>
                </c:pt>
                <c:pt idx="21">
                  <c:v>1220.9000000000001</c:v>
                </c:pt>
                <c:pt idx="22">
                  <c:v>1178.7</c:v>
                </c:pt>
              </c:numCache>
            </c:numRef>
          </c:val>
        </c:ser>
        <c:ser>
          <c:idx val="9"/>
          <c:order val="9"/>
          <c:tx>
            <c:strRef>
              <c:f>Sheet2!$B$56</c:f>
              <c:strCache>
                <c:ptCount val="1"/>
                <c:pt idx="0">
                  <c:v>Average</c:v>
                </c:pt>
              </c:strCache>
            </c:strRef>
          </c:tx>
          <c:spPr>
            <a:ln w="22225">
              <a:solidFill>
                <a:schemeClr val="tx1"/>
              </a:solidFill>
            </a:ln>
          </c:spPr>
          <c:marker>
            <c:symbol val="none"/>
          </c:marker>
          <c:cat>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cat>
          <c:val>
            <c:numRef>
              <c:f>Sheet2!$C$56:$Y$56</c:f>
              <c:numCache>
                <c:formatCode>General</c:formatCode>
                <c:ptCount val="23"/>
                <c:pt idx="0">
                  <c:v>1881.3</c:v>
                </c:pt>
                <c:pt idx="1">
                  <c:v>1995.2</c:v>
                </c:pt>
                <c:pt idx="2">
                  <c:v>2036.1</c:v>
                </c:pt>
                <c:pt idx="3">
                  <c:v>2217.6</c:v>
                </c:pt>
                <c:pt idx="4">
                  <c:v>2299.9</c:v>
                </c:pt>
                <c:pt idx="5">
                  <c:v>2383.6</c:v>
                </c:pt>
                <c:pt idx="6">
                  <c:v>2318.1999999999998</c:v>
                </c:pt>
                <c:pt idx="7">
                  <c:v>2163.6999999999998</c:v>
                </c:pt>
                <c:pt idx="8">
                  <c:v>2089.8000000000002</c:v>
                </c:pt>
                <c:pt idx="9">
                  <c:v>1860.9</c:v>
                </c:pt>
                <c:pt idx="10">
                  <c:v>1557.8</c:v>
                </c:pt>
                <c:pt idx="11">
                  <c:v>1344.2</c:v>
                </c:pt>
                <c:pt idx="12">
                  <c:v>1268.4000000000001</c:v>
                </c:pt>
                <c:pt idx="13">
                  <c:v>1167.4000000000001</c:v>
                </c:pt>
                <c:pt idx="14">
                  <c:v>1062.5999999999999</c:v>
                </c:pt>
                <c:pt idx="15">
                  <c:v>945.2</c:v>
                </c:pt>
                <c:pt idx="16">
                  <c:v>927.5</c:v>
                </c:pt>
                <c:pt idx="17">
                  <c:v>789.6</c:v>
                </c:pt>
                <c:pt idx="18">
                  <c:v>734.1</c:v>
                </c:pt>
                <c:pt idx="19">
                  <c:v>687.4</c:v>
                </c:pt>
                <c:pt idx="20">
                  <c:v>673.1</c:v>
                </c:pt>
                <c:pt idx="21">
                  <c:v>637.9</c:v>
                </c:pt>
                <c:pt idx="22">
                  <c:v>613.79999999999995</c:v>
                </c:pt>
              </c:numCache>
            </c:numRef>
          </c:val>
        </c:ser>
        <c:marker val="1"/>
        <c:axId val="259537152"/>
        <c:axId val="268138752"/>
      </c:lineChart>
      <c:scatterChart>
        <c:scatterStyle val="lineMarker"/>
        <c:ser>
          <c:idx val="8"/>
          <c:order val="8"/>
          <c:tx>
            <c:strRef>
              <c:f>Sheet2!$B$55</c:f>
              <c:strCache>
                <c:ptCount val="1"/>
                <c:pt idx="0">
                  <c:v>Median</c:v>
                </c:pt>
              </c:strCache>
            </c:strRef>
          </c:tx>
          <c:spPr>
            <a:ln w="28575">
              <a:noFill/>
            </a:ln>
          </c:spPr>
          <c:marker>
            <c:symbol val="none"/>
          </c:marker>
          <c:errBars>
            <c:errDir val="x"/>
            <c:errBarType val="both"/>
            <c:errValType val="fixedVal"/>
            <c:noEndCap val="1"/>
            <c:val val="0.25"/>
            <c:spPr>
              <a:ln w="12700">
                <a:solidFill>
                  <a:srgbClr val="333333"/>
                </a:solidFill>
                <a:prstDash val="solid"/>
              </a:ln>
            </c:spPr>
          </c:errBars>
          <c:xVal>
            <c:strRef>
              <c:f>Sheet2!$C$21:$Y$21</c:f>
              <c:strCache>
                <c:ptCount val="23"/>
                <c:pt idx="0">
                  <c:v>'85</c:v>
                </c:pt>
                <c:pt idx="1">
                  <c:v>'86</c:v>
                </c:pt>
                <c:pt idx="2">
                  <c:v>'87</c:v>
                </c:pt>
                <c:pt idx="3">
                  <c:v>'88</c:v>
                </c:pt>
                <c:pt idx="4">
                  <c:v>'89</c:v>
                </c:pt>
                <c:pt idx="5">
                  <c:v>'90</c:v>
                </c:pt>
                <c:pt idx="6">
                  <c:v>'91</c:v>
                </c:pt>
                <c:pt idx="7">
                  <c:v>'92</c:v>
                </c:pt>
                <c:pt idx="8">
                  <c:v>'93</c:v>
                </c:pt>
                <c:pt idx="9">
                  <c:v>'94</c:v>
                </c:pt>
                <c:pt idx="10">
                  <c:v>'95</c:v>
                </c:pt>
                <c:pt idx="11">
                  <c:v>'96</c:v>
                </c:pt>
                <c:pt idx="12">
                  <c:v>'97</c:v>
                </c:pt>
                <c:pt idx="13">
                  <c:v>'98</c:v>
                </c:pt>
                <c:pt idx="14">
                  <c:v>'99</c:v>
                </c:pt>
                <c:pt idx="15">
                  <c:v>'00</c:v>
                </c:pt>
                <c:pt idx="16">
                  <c:v>'01</c:v>
                </c:pt>
                <c:pt idx="17">
                  <c:v>'02</c:v>
                </c:pt>
                <c:pt idx="18">
                  <c:v>'03</c:v>
                </c:pt>
                <c:pt idx="19">
                  <c:v>'04</c:v>
                </c:pt>
                <c:pt idx="20">
                  <c:v>'05</c:v>
                </c:pt>
                <c:pt idx="21">
                  <c:v>'06</c:v>
                </c:pt>
                <c:pt idx="22">
                  <c:v>'07</c:v>
                </c:pt>
              </c:strCache>
            </c:strRef>
          </c:xVal>
          <c:yVal>
            <c:numRef>
              <c:f>Sheet2!$C$55:$Y$55</c:f>
              <c:numCache>
                <c:formatCode>General</c:formatCode>
                <c:ptCount val="23"/>
                <c:pt idx="0">
                  <c:v>897.1</c:v>
                </c:pt>
                <c:pt idx="1">
                  <c:v>996.5</c:v>
                </c:pt>
                <c:pt idx="2">
                  <c:v>988.3</c:v>
                </c:pt>
                <c:pt idx="3">
                  <c:v>1052</c:v>
                </c:pt>
                <c:pt idx="4">
                  <c:v>1092.7</c:v>
                </c:pt>
                <c:pt idx="5">
                  <c:v>1241.9000000000001</c:v>
                </c:pt>
                <c:pt idx="6">
                  <c:v>1287.8</c:v>
                </c:pt>
                <c:pt idx="7">
                  <c:v>1284.2</c:v>
                </c:pt>
                <c:pt idx="8">
                  <c:v>1255.2</c:v>
                </c:pt>
                <c:pt idx="9">
                  <c:v>1210.0999999999999</c:v>
                </c:pt>
                <c:pt idx="10">
                  <c:v>1138.8</c:v>
                </c:pt>
                <c:pt idx="11">
                  <c:v>1087.8</c:v>
                </c:pt>
                <c:pt idx="12">
                  <c:v>996.15000000000009</c:v>
                </c:pt>
                <c:pt idx="13">
                  <c:v>907.1</c:v>
                </c:pt>
                <c:pt idx="14">
                  <c:v>859.3</c:v>
                </c:pt>
                <c:pt idx="15">
                  <c:v>811.3</c:v>
                </c:pt>
                <c:pt idx="16">
                  <c:v>830.7</c:v>
                </c:pt>
                <c:pt idx="17">
                  <c:v>817.1</c:v>
                </c:pt>
                <c:pt idx="18">
                  <c:v>777.6</c:v>
                </c:pt>
                <c:pt idx="19">
                  <c:v>790.6</c:v>
                </c:pt>
                <c:pt idx="20">
                  <c:v>798.9</c:v>
                </c:pt>
                <c:pt idx="21">
                  <c:v>802.4</c:v>
                </c:pt>
                <c:pt idx="22">
                  <c:v>826.4</c:v>
                </c:pt>
              </c:numCache>
            </c:numRef>
          </c:yVal>
        </c:ser>
        <c:ser>
          <c:idx val="10"/>
          <c:order val="10"/>
          <c:tx>
            <c:v>o 1985</c:v>
          </c:tx>
          <c:spPr>
            <a:ln w="28575">
              <a:noFill/>
            </a:ln>
          </c:spPr>
          <c:marker>
            <c:symbol val="circle"/>
            <c:size val="6"/>
            <c:spPr>
              <a:noFill/>
              <a:ln>
                <a:solidFill>
                  <a:srgbClr val="FF0000"/>
                </a:solidFill>
                <a:prstDash val="solid"/>
              </a:ln>
            </c:spPr>
          </c:marker>
          <c:xVal>
            <c:numRef>
              <c:f>Sheet2!$AA$60:$AA$128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Sheet2!$C$60:$C$128</c:f>
              <c:numCache>
                <c:formatCode>General</c:formatCode>
                <c:ptCount val="69"/>
                <c:pt idx="0">
                  <c:v>279.7</c:v>
                </c:pt>
                <c:pt idx="1">
                  <c:v>176</c:v>
                </c:pt>
                <c:pt idx="2">
                  <c:v>167.4</c:v>
                </c:pt>
                <c:pt idx="3">
                  <c:v>220.4</c:v>
                </c:pt>
                <c:pt idx="4">
                  <c:v>514.29999999999995</c:v>
                </c:pt>
                <c:pt idx="5">
                  <c:v>491.5</c:v>
                </c:pt>
                <c:pt idx="6">
                  <c:v>771.2</c:v>
                </c:pt>
                <c:pt idx="7">
                  <c:v>483.6</c:v>
                </c:pt>
                <c:pt idx="8">
                  <c:v>1054.2</c:v>
                </c:pt>
                <c:pt idx="9">
                  <c:v>553.70000000000005</c:v>
                </c:pt>
                <c:pt idx="10">
                  <c:v>632.4</c:v>
                </c:pt>
                <c:pt idx="11">
                  <c:v>464.1</c:v>
                </c:pt>
                <c:pt idx="12">
                  <c:v>581.29999999999995</c:v>
                </c:pt>
                <c:pt idx="13">
                  <c:v>1136.2</c:v>
                </c:pt>
                <c:pt idx="14">
                  <c:v>625</c:v>
                </c:pt>
                <c:pt idx="15">
                  <c:v>602.4</c:v>
                </c:pt>
                <c:pt idx="16">
                  <c:v>671.7</c:v>
                </c:pt>
                <c:pt idx="17">
                  <c:v>688.4</c:v>
                </c:pt>
                <c:pt idx="18">
                  <c:v>677.9</c:v>
                </c:pt>
                <c:pt idx="19">
                  <c:v>1881.3</c:v>
                </c:pt>
                <c:pt idx="20">
                  <c:v>897.1</c:v>
                </c:pt>
                <c:pt idx="21">
                  <c:v>828.8</c:v>
                </c:pt>
                <c:pt idx="22">
                  <c:v>1317.3</c:v>
                </c:pt>
                <c:pt idx="23">
                  <c:v>997.2</c:v>
                </c:pt>
                <c:pt idx="24">
                  <c:v>840</c:v>
                </c:pt>
                <c:pt idx="25">
                  <c:v>532.9</c:v>
                </c:pt>
                <c:pt idx="26">
                  <c:v>1496.5</c:v>
                </c:pt>
                <c:pt idx="27">
                  <c:v>670.5</c:v>
                </c:pt>
                <c:pt idx="28">
                  <c:v>2348.9</c:v>
                </c:pt>
                <c:pt idx="29">
                  <c:v>507</c:v>
                </c:pt>
                <c:pt idx="30">
                  <c:v>1658</c:v>
                </c:pt>
                <c:pt idx="31">
                  <c:v>1060.7</c:v>
                </c:pt>
                <c:pt idx="32">
                  <c:v>844.3</c:v>
                </c:pt>
                <c:pt idx="33">
                  <c:v>973.3</c:v>
                </c:pt>
                <c:pt idx="34">
                  <c:v>352.7</c:v>
                </c:pt>
                <c:pt idx="35">
                  <c:v>515.70000000000005</c:v>
                </c:pt>
                <c:pt idx="36">
                  <c:v>975.7</c:v>
                </c:pt>
                <c:pt idx="37">
                  <c:v>776.4</c:v>
                </c:pt>
                <c:pt idx="38">
                  <c:v>3077.5</c:v>
                </c:pt>
                <c:pt idx="39">
                  <c:v>782</c:v>
                </c:pt>
                <c:pt idx="40">
                  <c:v>1295.5</c:v>
                </c:pt>
                <c:pt idx="41">
                  <c:v>586.79999999999995</c:v>
                </c:pt>
                <c:pt idx="42">
                  <c:v>1149.7</c:v>
                </c:pt>
                <c:pt idx="43">
                  <c:v>1214.8</c:v>
                </c:pt>
                <c:pt idx="44">
                  <c:v>1440</c:v>
                </c:pt>
                <c:pt idx="45">
                  <c:v>884.7</c:v>
                </c:pt>
                <c:pt idx="46">
                  <c:v>1085.5999999999999</c:v>
                </c:pt>
                <c:pt idx="47">
                  <c:v>1176.2</c:v>
                </c:pt>
                <c:pt idx="48">
                  <c:v>942.6</c:v>
                </c:pt>
                <c:pt idx="49">
                  <c:v>1800.7</c:v>
                </c:pt>
                <c:pt idx="50">
                  <c:v>2074</c:v>
                </c:pt>
                <c:pt idx="51">
                  <c:v>1949</c:v>
                </c:pt>
                <c:pt idx="52">
                  <c:v>774.1</c:v>
                </c:pt>
                <c:pt idx="53">
                  <c:v>628.20000000000005</c:v>
                </c:pt>
                <c:pt idx="54">
                  <c:v>980</c:v>
                </c:pt>
                <c:pt idx="55">
                  <c:v>1003.6</c:v>
                </c:pt>
                <c:pt idx="56">
                  <c:v>1624.8</c:v>
                </c:pt>
                <c:pt idx="57">
                  <c:v>652.20000000000005</c:v>
                </c:pt>
                <c:pt idx="58">
                  <c:v>883.8</c:v>
                </c:pt>
                <c:pt idx="59">
                  <c:v>1204.9000000000001</c:v>
                </c:pt>
                <c:pt idx="60">
                  <c:v>988.3</c:v>
                </c:pt>
                <c:pt idx="61">
                  <c:v>1422.4</c:v>
                </c:pt>
                <c:pt idx="62">
                  <c:v>701.5</c:v>
                </c:pt>
                <c:pt idx="63">
                  <c:v>2661.5</c:v>
                </c:pt>
                <c:pt idx="64">
                  <c:v>2009.9</c:v>
                </c:pt>
                <c:pt idx="65">
                  <c:v>1851.2</c:v>
                </c:pt>
                <c:pt idx="66">
                  <c:v>1487.6</c:v>
                </c:pt>
                <c:pt idx="67">
                  <c:v>2004.6</c:v>
                </c:pt>
                <c:pt idx="68">
                  <c:v>2375.1999999999998</c:v>
                </c:pt>
              </c:numCache>
            </c:numRef>
          </c:yVal>
        </c:ser>
        <c:ser>
          <c:idx val="11"/>
          <c:order val="11"/>
          <c:tx>
            <c:v>o 1986</c:v>
          </c:tx>
          <c:spPr>
            <a:ln w="28575">
              <a:noFill/>
            </a:ln>
          </c:spPr>
          <c:marker>
            <c:symbol val="circle"/>
            <c:size val="6"/>
            <c:spPr>
              <a:noFill/>
              <a:ln>
                <a:solidFill>
                  <a:srgbClr val="FF0000"/>
                </a:solidFill>
                <a:prstDash val="solid"/>
              </a:ln>
            </c:spPr>
          </c:marker>
          <c:xVal>
            <c:numRef>
              <c:f>Sheet2!$AB$60:$AB$128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Sheet2!$D$60:$D$128</c:f>
              <c:numCache>
                <c:formatCode>General</c:formatCode>
                <c:ptCount val="69"/>
                <c:pt idx="0">
                  <c:v>234.9</c:v>
                </c:pt>
                <c:pt idx="1">
                  <c:v>232.2</c:v>
                </c:pt>
                <c:pt idx="2">
                  <c:v>140.80000000000001</c:v>
                </c:pt>
                <c:pt idx="3">
                  <c:v>252.2</c:v>
                </c:pt>
                <c:pt idx="4">
                  <c:v>473.7</c:v>
                </c:pt>
                <c:pt idx="5">
                  <c:v>556.4</c:v>
                </c:pt>
                <c:pt idx="6">
                  <c:v>978.3</c:v>
                </c:pt>
                <c:pt idx="7">
                  <c:v>551.9</c:v>
                </c:pt>
                <c:pt idx="8">
                  <c:v>1693.5</c:v>
                </c:pt>
                <c:pt idx="9">
                  <c:v>573.29999999999995</c:v>
                </c:pt>
                <c:pt idx="10">
                  <c:v>842.6</c:v>
                </c:pt>
                <c:pt idx="11">
                  <c:v>610.70000000000005</c:v>
                </c:pt>
                <c:pt idx="12">
                  <c:v>643.9</c:v>
                </c:pt>
                <c:pt idx="13">
                  <c:v>1432.6</c:v>
                </c:pt>
                <c:pt idx="14">
                  <c:v>709.3</c:v>
                </c:pt>
                <c:pt idx="15">
                  <c:v>668.8</c:v>
                </c:pt>
                <c:pt idx="16">
                  <c:v>725.9</c:v>
                </c:pt>
                <c:pt idx="17">
                  <c:v>820.2</c:v>
                </c:pt>
                <c:pt idx="18">
                  <c:v>745.1</c:v>
                </c:pt>
                <c:pt idx="19">
                  <c:v>1995.2</c:v>
                </c:pt>
                <c:pt idx="20">
                  <c:v>1188.0999999999999</c:v>
                </c:pt>
                <c:pt idx="21">
                  <c:v>896.6</c:v>
                </c:pt>
                <c:pt idx="22">
                  <c:v>1354.5</c:v>
                </c:pt>
                <c:pt idx="23">
                  <c:v>1128.7</c:v>
                </c:pt>
                <c:pt idx="24">
                  <c:v>1216.8</c:v>
                </c:pt>
                <c:pt idx="25">
                  <c:v>605.9</c:v>
                </c:pt>
                <c:pt idx="26">
                  <c:v>1819.5</c:v>
                </c:pt>
                <c:pt idx="27">
                  <c:v>814.9</c:v>
                </c:pt>
                <c:pt idx="28">
                  <c:v>2389.5</c:v>
                </c:pt>
                <c:pt idx="29">
                  <c:v>649.9</c:v>
                </c:pt>
                <c:pt idx="30">
                  <c:v>2035.6</c:v>
                </c:pt>
                <c:pt idx="31">
                  <c:v>1212.8</c:v>
                </c:pt>
                <c:pt idx="32">
                  <c:v>996.5</c:v>
                </c:pt>
                <c:pt idx="33">
                  <c:v>917.8</c:v>
                </c:pt>
                <c:pt idx="34">
                  <c:v>503.2</c:v>
                </c:pt>
                <c:pt idx="35">
                  <c:v>502.9</c:v>
                </c:pt>
                <c:pt idx="36">
                  <c:v>954.5</c:v>
                </c:pt>
                <c:pt idx="37">
                  <c:v>909.4</c:v>
                </c:pt>
                <c:pt idx="38">
                  <c:v>3186.9</c:v>
                </c:pt>
                <c:pt idx="39">
                  <c:v>891.7</c:v>
                </c:pt>
                <c:pt idx="40">
                  <c:v>1266.5</c:v>
                </c:pt>
                <c:pt idx="41">
                  <c:v>535</c:v>
                </c:pt>
                <c:pt idx="42">
                  <c:v>1178.5</c:v>
                </c:pt>
                <c:pt idx="43">
                  <c:v>1297.8</c:v>
                </c:pt>
                <c:pt idx="44">
                  <c:v>1896.2</c:v>
                </c:pt>
                <c:pt idx="45">
                  <c:v>901.5</c:v>
                </c:pt>
                <c:pt idx="46">
                  <c:v>1170.3</c:v>
                </c:pt>
                <c:pt idx="47">
                  <c:v>1323.3</c:v>
                </c:pt>
                <c:pt idx="48">
                  <c:v>1156.2</c:v>
                </c:pt>
                <c:pt idx="49">
                  <c:v>2158</c:v>
                </c:pt>
                <c:pt idx="50">
                  <c:v>2159</c:v>
                </c:pt>
                <c:pt idx="51">
                  <c:v>2170.8000000000002</c:v>
                </c:pt>
                <c:pt idx="52">
                  <c:v>877.9</c:v>
                </c:pt>
                <c:pt idx="53">
                  <c:v>715.2</c:v>
                </c:pt>
                <c:pt idx="54">
                  <c:v>915.2</c:v>
                </c:pt>
                <c:pt idx="55">
                  <c:v>1105.4000000000001</c:v>
                </c:pt>
                <c:pt idx="56">
                  <c:v>1505.1</c:v>
                </c:pt>
                <c:pt idx="57">
                  <c:v>984.3</c:v>
                </c:pt>
                <c:pt idx="58">
                  <c:v>1126.9000000000001</c:v>
                </c:pt>
                <c:pt idx="59">
                  <c:v>1301.8</c:v>
                </c:pt>
                <c:pt idx="60">
                  <c:v>1045.9000000000001</c:v>
                </c:pt>
                <c:pt idx="61">
                  <c:v>1642.3</c:v>
                </c:pt>
                <c:pt idx="62">
                  <c:v>895.7</c:v>
                </c:pt>
                <c:pt idx="63">
                  <c:v>2953.7</c:v>
                </c:pt>
                <c:pt idx="64">
                  <c:v>1943.6</c:v>
                </c:pt>
                <c:pt idx="65">
                  <c:v>1885</c:v>
                </c:pt>
                <c:pt idx="66">
                  <c:v>1586.8</c:v>
                </c:pt>
                <c:pt idx="67">
                  <c:v>2277</c:v>
                </c:pt>
                <c:pt idx="68">
                  <c:v>2486.6</c:v>
                </c:pt>
              </c:numCache>
            </c:numRef>
          </c:yVal>
        </c:ser>
        <c:ser>
          <c:idx val="12"/>
          <c:order val="12"/>
          <c:tx>
            <c:v>o 1987</c:v>
          </c:tx>
          <c:spPr>
            <a:ln w="28575">
              <a:noFill/>
            </a:ln>
          </c:spPr>
          <c:marker>
            <c:symbol val="circle"/>
            <c:size val="6"/>
            <c:spPr>
              <a:noFill/>
              <a:ln>
                <a:solidFill>
                  <a:srgbClr val="FF0000"/>
                </a:solidFill>
                <a:prstDash val="solid"/>
              </a:ln>
            </c:spPr>
          </c:marker>
          <c:xVal>
            <c:numRef>
              <c:f>Sheet2!$AC$60:$AC$128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Sheet2!$E$60:$E$128</c:f>
              <c:numCache>
                <c:formatCode>General</c:formatCode>
                <c:ptCount val="69"/>
                <c:pt idx="0">
                  <c:v>208</c:v>
                </c:pt>
                <c:pt idx="1">
                  <c:v>211.1</c:v>
                </c:pt>
                <c:pt idx="2">
                  <c:v>134.19999999999999</c:v>
                </c:pt>
                <c:pt idx="3">
                  <c:v>271.2</c:v>
                </c:pt>
                <c:pt idx="4">
                  <c:v>352.5</c:v>
                </c:pt>
                <c:pt idx="5">
                  <c:v>599.70000000000005</c:v>
                </c:pt>
                <c:pt idx="6">
                  <c:v>875.2</c:v>
                </c:pt>
                <c:pt idx="7">
                  <c:v>516.20000000000005</c:v>
                </c:pt>
                <c:pt idx="8">
                  <c:v>1451.2</c:v>
                </c:pt>
                <c:pt idx="9">
                  <c:v>492.7</c:v>
                </c:pt>
                <c:pt idx="10">
                  <c:v>875.4</c:v>
                </c:pt>
                <c:pt idx="11">
                  <c:v>505.3</c:v>
                </c:pt>
                <c:pt idx="12">
                  <c:v>492.6</c:v>
                </c:pt>
                <c:pt idx="13">
                  <c:v>1227.5999999999999</c:v>
                </c:pt>
                <c:pt idx="14">
                  <c:v>662</c:v>
                </c:pt>
                <c:pt idx="15">
                  <c:v>615</c:v>
                </c:pt>
                <c:pt idx="16">
                  <c:v>648.79999999999995</c:v>
                </c:pt>
                <c:pt idx="17">
                  <c:v>676.4</c:v>
                </c:pt>
                <c:pt idx="18">
                  <c:v>863.5</c:v>
                </c:pt>
                <c:pt idx="19">
                  <c:v>2036.1</c:v>
                </c:pt>
                <c:pt idx="20">
                  <c:v>1225.7</c:v>
                </c:pt>
                <c:pt idx="21">
                  <c:v>753.8</c:v>
                </c:pt>
                <c:pt idx="22">
                  <c:v>1435.2</c:v>
                </c:pt>
                <c:pt idx="23">
                  <c:v>1085.5999999999999</c:v>
                </c:pt>
                <c:pt idx="24">
                  <c:v>1155.7</c:v>
                </c:pt>
                <c:pt idx="25">
                  <c:v>487</c:v>
                </c:pt>
                <c:pt idx="26">
                  <c:v>1779.1</c:v>
                </c:pt>
                <c:pt idx="27">
                  <c:v>940.6</c:v>
                </c:pt>
                <c:pt idx="28">
                  <c:v>2242.1</c:v>
                </c:pt>
                <c:pt idx="29">
                  <c:v>561.70000000000005</c:v>
                </c:pt>
                <c:pt idx="30">
                  <c:v>1910.2</c:v>
                </c:pt>
                <c:pt idx="31">
                  <c:v>1146.9000000000001</c:v>
                </c:pt>
                <c:pt idx="32">
                  <c:v>876.7</c:v>
                </c:pt>
                <c:pt idx="33">
                  <c:v>940.6</c:v>
                </c:pt>
                <c:pt idx="34">
                  <c:v>687.1</c:v>
                </c:pt>
                <c:pt idx="35">
                  <c:v>443.6</c:v>
                </c:pt>
                <c:pt idx="36">
                  <c:v>860.4</c:v>
                </c:pt>
                <c:pt idx="37">
                  <c:v>947.7</c:v>
                </c:pt>
                <c:pt idx="38">
                  <c:v>2803.4</c:v>
                </c:pt>
                <c:pt idx="39">
                  <c:v>862</c:v>
                </c:pt>
                <c:pt idx="40">
                  <c:v>1210.8</c:v>
                </c:pt>
                <c:pt idx="41">
                  <c:v>538.70000000000005</c:v>
                </c:pt>
                <c:pt idx="42">
                  <c:v>1034.3</c:v>
                </c:pt>
                <c:pt idx="43">
                  <c:v>1520.4</c:v>
                </c:pt>
                <c:pt idx="44">
                  <c:v>1988.8</c:v>
                </c:pt>
                <c:pt idx="45">
                  <c:v>852.3</c:v>
                </c:pt>
                <c:pt idx="46">
                  <c:v>1110</c:v>
                </c:pt>
                <c:pt idx="47">
                  <c:v>1156.4000000000001</c:v>
                </c:pt>
                <c:pt idx="48">
                  <c:v>1090.3</c:v>
                </c:pt>
                <c:pt idx="49">
                  <c:v>1895.4</c:v>
                </c:pt>
                <c:pt idx="50">
                  <c:v>2075.8000000000002</c:v>
                </c:pt>
                <c:pt idx="51">
                  <c:v>2142.6999999999998</c:v>
                </c:pt>
                <c:pt idx="52">
                  <c:v>845.8</c:v>
                </c:pt>
                <c:pt idx="53">
                  <c:v>802.1</c:v>
                </c:pt>
                <c:pt idx="54">
                  <c:v>949</c:v>
                </c:pt>
                <c:pt idx="55">
                  <c:v>1091.2</c:v>
                </c:pt>
                <c:pt idx="56">
                  <c:v>1610.3</c:v>
                </c:pt>
                <c:pt idx="57">
                  <c:v>988.3</c:v>
                </c:pt>
                <c:pt idx="58">
                  <c:v>968.3</c:v>
                </c:pt>
                <c:pt idx="59">
                  <c:v>1270.4000000000001</c:v>
                </c:pt>
                <c:pt idx="60">
                  <c:v>1054.8</c:v>
                </c:pt>
                <c:pt idx="61">
                  <c:v>1541</c:v>
                </c:pt>
                <c:pt idx="62">
                  <c:v>1078.4000000000001</c:v>
                </c:pt>
                <c:pt idx="63">
                  <c:v>2998.7</c:v>
                </c:pt>
                <c:pt idx="64">
                  <c:v>1868.9</c:v>
                </c:pt>
                <c:pt idx="65">
                  <c:v>1771.9</c:v>
                </c:pt>
                <c:pt idx="66">
                  <c:v>1338.9</c:v>
                </c:pt>
                <c:pt idx="67">
                  <c:v>2277.1</c:v>
                </c:pt>
                <c:pt idx="68">
                  <c:v>2544.9</c:v>
                </c:pt>
              </c:numCache>
            </c:numRef>
          </c:yVal>
        </c:ser>
        <c:ser>
          <c:idx val="13"/>
          <c:order val="13"/>
          <c:tx>
            <c:v>o 1988</c:v>
          </c:tx>
          <c:spPr>
            <a:ln w="28575">
              <a:noFill/>
            </a:ln>
          </c:spPr>
          <c:marker>
            <c:symbol val="circle"/>
            <c:size val="6"/>
            <c:spPr>
              <a:noFill/>
              <a:ln>
                <a:solidFill>
                  <a:srgbClr val="FF0000"/>
                </a:solidFill>
                <a:prstDash val="solid"/>
              </a:ln>
            </c:spPr>
          </c:marker>
          <c:xVal>
            <c:numRef>
              <c:f>Sheet2!$AD$60:$AD$128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Sheet2!$F$60:$F$128</c:f>
              <c:numCache>
                <c:formatCode>General</c:formatCode>
                <c:ptCount val="69"/>
                <c:pt idx="0">
                  <c:v>213.3</c:v>
                </c:pt>
                <c:pt idx="1">
                  <c:v>201.7</c:v>
                </c:pt>
                <c:pt idx="2">
                  <c:v>166.6</c:v>
                </c:pt>
                <c:pt idx="3">
                  <c:v>260.7</c:v>
                </c:pt>
                <c:pt idx="4">
                  <c:v>274</c:v>
                </c:pt>
                <c:pt idx="5">
                  <c:v>640.6</c:v>
                </c:pt>
                <c:pt idx="6">
                  <c:v>898.2</c:v>
                </c:pt>
                <c:pt idx="7">
                  <c:v>574.4</c:v>
                </c:pt>
                <c:pt idx="8">
                  <c:v>1507.5</c:v>
                </c:pt>
                <c:pt idx="9">
                  <c:v>521.6</c:v>
                </c:pt>
                <c:pt idx="10">
                  <c:v>854.3</c:v>
                </c:pt>
                <c:pt idx="11">
                  <c:v>463.5</c:v>
                </c:pt>
                <c:pt idx="12">
                  <c:v>536.6</c:v>
                </c:pt>
                <c:pt idx="13">
                  <c:v>1196.4000000000001</c:v>
                </c:pt>
                <c:pt idx="14">
                  <c:v>563.5</c:v>
                </c:pt>
                <c:pt idx="15">
                  <c:v>625</c:v>
                </c:pt>
                <c:pt idx="16">
                  <c:v>818.5</c:v>
                </c:pt>
                <c:pt idx="17">
                  <c:v>733.9</c:v>
                </c:pt>
                <c:pt idx="18">
                  <c:v>731.7</c:v>
                </c:pt>
                <c:pt idx="19">
                  <c:v>2217.6</c:v>
                </c:pt>
                <c:pt idx="20">
                  <c:v>1125.8</c:v>
                </c:pt>
                <c:pt idx="21">
                  <c:v>726</c:v>
                </c:pt>
                <c:pt idx="22">
                  <c:v>1361.2</c:v>
                </c:pt>
                <c:pt idx="23">
                  <c:v>1239.3</c:v>
                </c:pt>
                <c:pt idx="24">
                  <c:v>1356.3</c:v>
                </c:pt>
                <c:pt idx="25">
                  <c:v>550.25</c:v>
                </c:pt>
                <c:pt idx="26">
                  <c:v>1692.4</c:v>
                </c:pt>
                <c:pt idx="27">
                  <c:v>923.6</c:v>
                </c:pt>
                <c:pt idx="28">
                  <c:v>2240.6</c:v>
                </c:pt>
                <c:pt idx="29">
                  <c:v>551.4</c:v>
                </c:pt>
                <c:pt idx="30">
                  <c:v>1961.5</c:v>
                </c:pt>
                <c:pt idx="31">
                  <c:v>1245.7</c:v>
                </c:pt>
                <c:pt idx="32">
                  <c:v>890.7</c:v>
                </c:pt>
                <c:pt idx="33">
                  <c:v>920.5</c:v>
                </c:pt>
                <c:pt idx="34">
                  <c:v>763.8</c:v>
                </c:pt>
                <c:pt idx="35">
                  <c:v>516</c:v>
                </c:pt>
                <c:pt idx="36">
                  <c:v>905.6</c:v>
                </c:pt>
                <c:pt idx="37">
                  <c:v>986</c:v>
                </c:pt>
                <c:pt idx="38">
                  <c:v>3049.3</c:v>
                </c:pt>
                <c:pt idx="39">
                  <c:v>921.1</c:v>
                </c:pt>
                <c:pt idx="40">
                  <c:v>1282.2</c:v>
                </c:pt>
                <c:pt idx="41">
                  <c:v>565.4</c:v>
                </c:pt>
                <c:pt idx="42">
                  <c:v>1130.4000000000001</c:v>
                </c:pt>
                <c:pt idx="43">
                  <c:v>1481.8000000000002</c:v>
                </c:pt>
                <c:pt idx="44">
                  <c:v>2076.5</c:v>
                </c:pt>
                <c:pt idx="45">
                  <c:v>846.8</c:v>
                </c:pt>
                <c:pt idx="46">
                  <c:v>1063.5999999999999</c:v>
                </c:pt>
                <c:pt idx="47">
                  <c:v>1052</c:v>
                </c:pt>
                <c:pt idx="48">
                  <c:v>1148.5</c:v>
                </c:pt>
                <c:pt idx="49">
                  <c:v>1858.5</c:v>
                </c:pt>
                <c:pt idx="50">
                  <c:v>2099.4</c:v>
                </c:pt>
                <c:pt idx="51">
                  <c:v>2191.6999999999998</c:v>
                </c:pt>
                <c:pt idx="52">
                  <c:v>926.7</c:v>
                </c:pt>
                <c:pt idx="53">
                  <c:v>881.3</c:v>
                </c:pt>
                <c:pt idx="54">
                  <c:v>1166.2</c:v>
                </c:pt>
                <c:pt idx="55">
                  <c:v>1319.4</c:v>
                </c:pt>
                <c:pt idx="56">
                  <c:v>1921.5</c:v>
                </c:pt>
                <c:pt idx="57">
                  <c:v>824.2</c:v>
                </c:pt>
                <c:pt idx="58">
                  <c:v>1070.8</c:v>
                </c:pt>
                <c:pt idx="59">
                  <c:v>1346.7</c:v>
                </c:pt>
                <c:pt idx="60">
                  <c:v>1030.7</c:v>
                </c:pt>
                <c:pt idx="61">
                  <c:v>1507.9</c:v>
                </c:pt>
                <c:pt idx="62">
                  <c:v>1052.2</c:v>
                </c:pt>
                <c:pt idx="63">
                  <c:v>3575.5</c:v>
                </c:pt>
                <c:pt idx="64">
                  <c:v>1927.1</c:v>
                </c:pt>
                <c:pt idx="65">
                  <c:v>1644.7</c:v>
                </c:pt>
                <c:pt idx="66">
                  <c:v>1332.6</c:v>
                </c:pt>
                <c:pt idx="67">
                  <c:v>2465</c:v>
                </c:pt>
                <c:pt idx="68">
                  <c:v>2374.6</c:v>
                </c:pt>
              </c:numCache>
            </c:numRef>
          </c:yVal>
        </c:ser>
        <c:ser>
          <c:idx val="14"/>
          <c:order val="14"/>
          <c:tx>
            <c:v>o 1989</c:v>
          </c:tx>
          <c:spPr>
            <a:ln w="28575">
              <a:noFill/>
            </a:ln>
          </c:spPr>
          <c:marker>
            <c:symbol val="circle"/>
            <c:size val="6"/>
            <c:spPr>
              <a:noFill/>
              <a:ln>
                <a:solidFill>
                  <a:srgbClr val="FF0000"/>
                </a:solidFill>
                <a:prstDash val="solid"/>
              </a:ln>
            </c:spPr>
          </c:marker>
          <c:xVal>
            <c:numRef>
              <c:f>Sheet2!$AE$60:$AE$128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5</c:v>
                </c:pt>
                <c:pt idx="64">
                  <c:v>#N/A</c:v>
                </c:pt>
                <c:pt idx="65">
                  <c:v>#N/A</c:v>
                </c:pt>
                <c:pt idx="66">
                  <c:v>#N/A</c:v>
                </c:pt>
                <c:pt idx="67">
                  <c:v>#N/A</c:v>
                </c:pt>
                <c:pt idx="68">
                  <c:v>#N/A</c:v>
                </c:pt>
              </c:numCache>
            </c:numRef>
          </c:xVal>
          <c:yVal>
            <c:numRef>
              <c:f>Sheet2!$G$60:$G$128</c:f>
              <c:numCache>
                <c:formatCode>General</c:formatCode>
                <c:ptCount val="69"/>
                <c:pt idx="0">
                  <c:v>195.2</c:v>
                </c:pt>
                <c:pt idx="1">
                  <c:v>205.8</c:v>
                </c:pt>
                <c:pt idx="2">
                  <c:v>256.10000000000002</c:v>
                </c:pt>
                <c:pt idx="3">
                  <c:v>274.54999999999995</c:v>
                </c:pt>
                <c:pt idx="4">
                  <c:v>295.10000000000002</c:v>
                </c:pt>
                <c:pt idx="5">
                  <c:v>598.29999999999995</c:v>
                </c:pt>
                <c:pt idx="6">
                  <c:v>915.8</c:v>
                </c:pt>
                <c:pt idx="7">
                  <c:v>657.4</c:v>
                </c:pt>
                <c:pt idx="8">
                  <c:v>1695.9</c:v>
                </c:pt>
                <c:pt idx="9">
                  <c:v>489.7</c:v>
                </c:pt>
                <c:pt idx="10">
                  <c:v>921.5</c:v>
                </c:pt>
                <c:pt idx="11">
                  <c:v>472.8</c:v>
                </c:pt>
                <c:pt idx="12">
                  <c:v>555.5</c:v>
                </c:pt>
                <c:pt idx="13">
                  <c:v>1300.8</c:v>
                </c:pt>
                <c:pt idx="14">
                  <c:v>553.1</c:v>
                </c:pt>
                <c:pt idx="15">
                  <c:v>659.9</c:v>
                </c:pt>
                <c:pt idx="16">
                  <c:v>942.7</c:v>
                </c:pt>
                <c:pt idx="17">
                  <c:v>774.7</c:v>
                </c:pt>
                <c:pt idx="18">
                  <c:v>707.3</c:v>
                </c:pt>
                <c:pt idx="19">
                  <c:v>2299.9</c:v>
                </c:pt>
                <c:pt idx="20">
                  <c:v>1106.0999999999999</c:v>
                </c:pt>
                <c:pt idx="21">
                  <c:v>722.2</c:v>
                </c:pt>
                <c:pt idx="22">
                  <c:v>1337.1</c:v>
                </c:pt>
                <c:pt idx="23">
                  <c:v>1362.6</c:v>
                </c:pt>
                <c:pt idx="24">
                  <c:v>1360.6</c:v>
                </c:pt>
                <c:pt idx="25">
                  <c:v>613.5</c:v>
                </c:pt>
                <c:pt idx="26">
                  <c:v>1549</c:v>
                </c:pt>
                <c:pt idx="27">
                  <c:v>906.6</c:v>
                </c:pt>
                <c:pt idx="28">
                  <c:v>1891.1</c:v>
                </c:pt>
                <c:pt idx="29">
                  <c:v>596.6</c:v>
                </c:pt>
                <c:pt idx="30">
                  <c:v>2246.1</c:v>
                </c:pt>
                <c:pt idx="31">
                  <c:v>1682.8</c:v>
                </c:pt>
                <c:pt idx="32">
                  <c:v>900.4</c:v>
                </c:pt>
                <c:pt idx="33">
                  <c:v>914.15</c:v>
                </c:pt>
                <c:pt idx="34">
                  <c:v>757.3</c:v>
                </c:pt>
                <c:pt idx="35">
                  <c:v>506.4</c:v>
                </c:pt>
                <c:pt idx="36">
                  <c:v>997</c:v>
                </c:pt>
                <c:pt idx="37">
                  <c:v>1045.9000000000001</c:v>
                </c:pt>
                <c:pt idx="38">
                  <c:v>3294.7</c:v>
                </c:pt>
                <c:pt idx="39">
                  <c:v>940.4</c:v>
                </c:pt>
                <c:pt idx="40">
                  <c:v>1340.1</c:v>
                </c:pt>
                <c:pt idx="41">
                  <c:v>774.1</c:v>
                </c:pt>
                <c:pt idx="42">
                  <c:v>1220.4000000000001</c:v>
                </c:pt>
                <c:pt idx="43">
                  <c:v>1443.2</c:v>
                </c:pt>
                <c:pt idx="44">
                  <c:v>2130.6</c:v>
                </c:pt>
                <c:pt idx="45">
                  <c:v>991.2</c:v>
                </c:pt>
                <c:pt idx="46">
                  <c:v>1216.5</c:v>
                </c:pt>
                <c:pt idx="47">
                  <c:v>1053.7</c:v>
                </c:pt>
                <c:pt idx="48">
                  <c:v>1139.7</c:v>
                </c:pt>
                <c:pt idx="49">
                  <c:v>2042.5</c:v>
                </c:pt>
                <c:pt idx="50">
                  <c:v>2227</c:v>
                </c:pt>
                <c:pt idx="51">
                  <c:v>2340.6999999999998</c:v>
                </c:pt>
                <c:pt idx="52">
                  <c:v>1187.5999999999999</c:v>
                </c:pt>
                <c:pt idx="53">
                  <c:v>960.5</c:v>
                </c:pt>
                <c:pt idx="54">
                  <c:v>1210.4000000000001</c:v>
                </c:pt>
                <c:pt idx="55">
                  <c:v>1425.1</c:v>
                </c:pt>
                <c:pt idx="56">
                  <c:v>2141.6999999999998</c:v>
                </c:pt>
                <c:pt idx="57">
                  <c:v>710.6</c:v>
                </c:pt>
                <c:pt idx="58">
                  <c:v>1209.8</c:v>
                </c:pt>
                <c:pt idx="59">
                  <c:v>1520.3</c:v>
                </c:pt>
                <c:pt idx="60">
                  <c:v>1092.7</c:v>
                </c:pt>
                <c:pt idx="61">
                  <c:v>1540.5</c:v>
                </c:pt>
                <c:pt idx="62">
                  <c:v>1043.0999999999999</c:v>
                </c:pt>
                <c:pt idx="63">
                  <c:v>3951.4</c:v>
                </c:pt>
                <c:pt idx="64">
                  <c:v>2046.5</c:v>
                </c:pt>
                <c:pt idx="65">
                  <c:v>1516.5</c:v>
                </c:pt>
                <c:pt idx="66">
                  <c:v>1233.3</c:v>
                </c:pt>
                <c:pt idx="67">
                  <c:v>3121.5</c:v>
                </c:pt>
                <c:pt idx="68">
                  <c:v>2400.5</c:v>
                </c:pt>
              </c:numCache>
            </c:numRef>
          </c:yVal>
        </c:ser>
        <c:ser>
          <c:idx val="15"/>
          <c:order val="15"/>
          <c:tx>
            <c:v>o 1990</c:v>
          </c:tx>
          <c:spPr>
            <a:ln w="28575">
              <a:noFill/>
            </a:ln>
          </c:spPr>
          <c:marker>
            <c:symbol val="circle"/>
            <c:size val="6"/>
            <c:spPr>
              <a:noFill/>
              <a:ln>
                <a:solidFill>
                  <a:srgbClr val="FF0000"/>
                </a:solidFill>
                <a:prstDash val="solid"/>
              </a:ln>
            </c:spPr>
          </c:marker>
          <c:xVal>
            <c:numRef>
              <c:f>Sheet2!$AF$60:$AF$128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Sheet2!$H$60:$H$128</c:f>
              <c:numCache>
                <c:formatCode>General</c:formatCode>
                <c:ptCount val="69"/>
                <c:pt idx="0">
                  <c:v>286.39999999999969</c:v>
                </c:pt>
                <c:pt idx="1">
                  <c:v>229.5</c:v>
                </c:pt>
                <c:pt idx="2">
                  <c:v>344.2</c:v>
                </c:pt>
                <c:pt idx="3">
                  <c:v>288.39999999999969</c:v>
                </c:pt>
                <c:pt idx="4">
                  <c:v>320.3</c:v>
                </c:pt>
                <c:pt idx="5">
                  <c:v>600.6</c:v>
                </c:pt>
                <c:pt idx="6">
                  <c:v>991.8</c:v>
                </c:pt>
                <c:pt idx="7">
                  <c:v>676.4</c:v>
                </c:pt>
                <c:pt idx="8">
                  <c:v>3004.9</c:v>
                </c:pt>
                <c:pt idx="9">
                  <c:v>598.4</c:v>
                </c:pt>
                <c:pt idx="10">
                  <c:v>1084.8</c:v>
                </c:pt>
                <c:pt idx="11">
                  <c:v>421.1</c:v>
                </c:pt>
                <c:pt idx="12">
                  <c:v>714.3</c:v>
                </c:pt>
                <c:pt idx="13">
                  <c:v>1436.7</c:v>
                </c:pt>
                <c:pt idx="14">
                  <c:v>612.20000000000005</c:v>
                </c:pt>
                <c:pt idx="15">
                  <c:v>567</c:v>
                </c:pt>
                <c:pt idx="16">
                  <c:v>906.6</c:v>
                </c:pt>
                <c:pt idx="17">
                  <c:v>935.1</c:v>
                </c:pt>
                <c:pt idx="18">
                  <c:v>726.4</c:v>
                </c:pt>
                <c:pt idx="19">
                  <c:v>2383.6</c:v>
                </c:pt>
                <c:pt idx="20">
                  <c:v>969.6</c:v>
                </c:pt>
                <c:pt idx="21">
                  <c:v>899.3</c:v>
                </c:pt>
                <c:pt idx="22">
                  <c:v>1507</c:v>
                </c:pt>
                <c:pt idx="23">
                  <c:v>1362</c:v>
                </c:pt>
                <c:pt idx="24">
                  <c:v>1241.9000000000001</c:v>
                </c:pt>
                <c:pt idx="25">
                  <c:v>785.4</c:v>
                </c:pt>
                <c:pt idx="26">
                  <c:v>1748.4</c:v>
                </c:pt>
                <c:pt idx="27">
                  <c:v>847.8</c:v>
                </c:pt>
                <c:pt idx="28">
                  <c:v>1791.8</c:v>
                </c:pt>
                <c:pt idx="29">
                  <c:v>716.8</c:v>
                </c:pt>
                <c:pt idx="30">
                  <c:v>2404.6</c:v>
                </c:pt>
                <c:pt idx="31">
                  <c:v>1956.8</c:v>
                </c:pt>
                <c:pt idx="32">
                  <c:v>1084.5</c:v>
                </c:pt>
                <c:pt idx="33">
                  <c:v>907.8</c:v>
                </c:pt>
                <c:pt idx="34">
                  <c:v>624.20000000000005</c:v>
                </c:pt>
                <c:pt idx="35">
                  <c:v>587.6</c:v>
                </c:pt>
                <c:pt idx="36">
                  <c:v>1082.3</c:v>
                </c:pt>
                <c:pt idx="37">
                  <c:v>1109.5</c:v>
                </c:pt>
                <c:pt idx="38">
                  <c:v>3882</c:v>
                </c:pt>
                <c:pt idx="39">
                  <c:v>1014.9</c:v>
                </c:pt>
                <c:pt idx="40">
                  <c:v>1711.1</c:v>
                </c:pt>
                <c:pt idx="41">
                  <c:v>720</c:v>
                </c:pt>
                <c:pt idx="42">
                  <c:v>1331</c:v>
                </c:pt>
                <c:pt idx="43">
                  <c:v>1830.4</c:v>
                </c:pt>
                <c:pt idx="44">
                  <c:v>2438.1999999999998</c:v>
                </c:pt>
                <c:pt idx="45">
                  <c:v>1229.5</c:v>
                </c:pt>
                <c:pt idx="46">
                  <c:v>1356.4</c:v>
                </c:pt>
                <c:pt idx="47">
                  <c:v>1077</c:v>
                </c:pt>
                <c:pt idx="48">
                  <c:v>1388.3</c:v>
                </c:pt>
                <c:pt idx="49">
                  <c:v>2550.4</c:v>
                </c:pt>
                <c:pt idx="50">
                  <c:v>2379.3000000000002</c:v>
                </c:pt>
                <c:pt idx="51">
                  <c:v>2842.2</c:v>
                </c:pt>
                <c:pt idx="52">
                  <c:v>1333.5</c:v>
                </c:pt>
                <c:pt idx="53">
                  <c:v>1063.5</c:v>
                </c:pt>
                <c:pt idx="54">
                  <c:v>1287.0999999999999</c:v>
                </c:pt>
                <c:pt idx="55">
                  <c:v>1607.6</c:v>
                </c:pt>
                <c:pt idx="56">
                  <c:v>2458.1999999999998</c:v>
                </c:pt>
                <c:pt idx="57">
                  <c:v>1000.2</c:v>
                </c:pt>
                <c:pt idx="58">
                  <c:v>1245.4000000000001</c:v>
                </c:pt>
                <c:pt idx="59">
                  <c:v>1817.6</c:v>
                </c:pt>
                <c:pt idx="60">
                  <c:v>1348.8</c:v>
                </c:pt>
                <c:pt idx="61">
                  <c:v>1559</c:v>
                </c:pt>
                <c:pt idx="62">
                  <c:v>1378.4</c:v>
                </c:pt>
                <c:pt idx="63">
                  <c:v>4085.4</c:v>
                </c:pt>
                <c:pt idx="64">
                  <c:v>2437.6999999999998</c:v>
                </c:pt>
                <c:pt idx="65">
                  <c:v>1570.2</c:v>
                </c:pt>
                <c:pt idx="66">
                  <c:v>1488</c:v>
                </c:pt>
                <c:pt idx="67">
                  <c:v>3449.1</c:v>
                </c:pt>
                <c:pt idx="68">
                  <c:v>2699.2</c:v>
                </c:pt>
              </c:numCache>
            </c:numRef>
          </c:yVal>
        </c:ser>
        <c:ser>
          <c:idx val="16"/>
          <c:order val="16"/>
          <c:tx>
            <c:v>o 1991</c:v>
          </c:tx>
          <c:spPr>
            <a:ln w="28575">
              <a:noFill/>
            </a:ln>
          </c:spPr>
          <c:marker>
            <c:symbol val="circle"/>
            <c:size val="6"/>
            <c:spPr>
              <a:noFill/>
              <a:ln>
                <a:solidFill>
                  <a:srgbClr val="FF0000"/>
                </a:solidFill>
                <a:prstDash val="solid"/>
              </a:ln>
            </c:spPr>
          </c:marker>
          <c:xVal>
            <c:numRef>
              <c:f>Sheet2!$AG$60:$AG$128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Sheet2!$I$60:$I$128</c:f>
              <c:numCache>
                <c:formatCode>General</c:formatCode>
                <c:ptCount val="69"/>
                <c:pt idx="0">
                  <c:v>405</c:v>
                </c:pt>
                <c:pt idx="1">
                  <c:v>272.2</c:v>
                </c:pt>
                <c:pt idx="2">
                  <c:v>324.8</c:v>
                </c:pt>
                <c:pt idx="3">
                  <c:v>240.3</c:v>
                </c:pt>
                <c:pt idx="4">
                  <c:v>298</c:v>
                </c:pt>
                <c:pt idx="5">
                  <c:v>658.5</c:v>
                </c:pt>
                <c:pt idx="6">
                  <c:v>1067</c:v>
                </c:pt>
                <c:pt idx="7">
                  <c:v>714.1</c:v>
                </c:pt>
                <c:pt idx="8">
                  <c:v>3268.4</c:v>
                </c:pt>
                <c:pt idx="9">
                  <c:v>698.2</c:v>
                </c:pt>
                <c:pt idx="10">
                  <c:v>1219.9000000000001</c:v>
                </c:pt>
                <c:pt idx="11">
                  <c:v>480.6</c:v>
                </c:pt>
                <c:pt idx="12">
                  <c:v>624.1</c:v>
                </c:pt>
                <c:pt idx="13">
                  <c:v>1645.4</c:v>
                </c:pt>
                <c:pt idx="14">
                  <c:v>792.2</c:v>
                </c:pt>
                <c:pt idx="15">
                  <c:v>833.2</c:v>
                </c:pt>
                <c:pt idx="16">
                  <c:v>1102.5</c:v>
                </c:pt>
                <c:pt idx="17">
                  <c:v>956.4</c:v>
                </c:pt>
                <c:pt idx="18">
                  <c:v>785.8</c:v>
                </c:pt>
                <c:pt idx="19">
                  <c:v>2318.1999999999998</c:v>
                </c:pt>
                <c:pt idx="20">
                  <c:v>958.2</c:v>
                </c:pt>
                <c:pt idx="21">
                  <c:v>1049.9000000000001</c:v>
                </c:pt>
                <c:pt idx="22">
                  <c:v>1356.3</c:v>
                </c:pt>
                <c:pt idx="23">
                  <c:v>1574.2</c:v>
                </c:pt>
                <c:pt idx="24">
                  <c:v>1274.4000000000001</c:v>
                </c:pt>
                <c:pt idx="25">
                  <c:v>793.6</c:v>
                </c:pt>
                <c:pt idx="26">
                  <c:v>1949.8</c:v>
                </c:pt>
                <c:pt idx="27">
                  <c:v>827.7</c:v>
                </c:pt>
                <c:pt idx="28">
                  <c:v>1806</c:v>
                </c:pt>
                <c:pt idx="29">
                  <c:v>788.6</c:v>
                </c:pt>
                <c:pt idx="30">
                  <c:v>2525.8000000000002</c:v>
                </c:pt>
                <c:pt idx="31">
                  <c:v>2100.6999999999998</c:v>
                </c:pt>
                <c:pt idx="32">
                  <c:v>1105.5</c:v>
                </c:pt>
                <c:pt idx="33">
                  <c:v>939.3</c:v>
                </c:pt>
                <c:pt idx="34">
                  <c:v>824.5</c:v>
                </c:pt>
                <c:pt idx="35">
                  <c:v>711.5</c:v>
                </c:pt>
                <c:pt idx="36">
                  <c:v>1128.2</c:v>
                </c:pt>
                <c:pt idx="37">
                  <c:v>1130.9000000000001</c:v>
                </c:pt>
                <c:pt idx="38">
                  <c:v>3400.2</c:v>
                </c:pt>
                <c:pt idx="39">
                  <c:v>990.3</c:v>
                </c:pt>
                <c:pt idx="40">
                  <c:v>1645.4</c:v>
                </c:pt>
                <c:pt idx="41">
                  <c:v>872.2</c:v>
                </c:pt>
                <c:pt idx="42">
                  <c:v>1422.1</c:v>
                </c:pt>
                <c:pt idx="43">
                  <c:v>1628.9</c:v>
                </c:pt>
                <c:pt idx="44">
                  <c:v>2568.3000000000002</c:v>
                </c:pt>
                <c:pt idx="45">
                  <c:v>1578.2</c:v>
                </c:pt>
                <c:pt idx="46">
                  <c:v>1153.2</c:v>
                </c:pt>
                <c:pt idx="47">
                  <c:v>1298.5</c:v>
                </c:pt>
                <c:pt idx="48">
                  <c:v>1599.9</c:v>
                </c:pt>
                <c:pt idx="49">
                  <c:v>2832.8</c:v>
                </c:pt>
                <c:pt idx="50">
                  <c:v>2066.4</c:v>
                </c:pt>
                <c:pt idx="51">
                  <c:v>3092.5</c:v>
                </c:pt>
                <c:pt idx="52">
                  <c:v>1327.9</c:v>
                </c:pt>
                <c:pt idx="53">
                  <c:v>1038.2</c:v>
                </c:pt>
                <c:pt idx="54">
                  <c:v>1445.1</c:v>
                </c:pt>
                <c:pt idx="55">
                  <c:v>1834.5</c:v>
                </c:pt>
                <c:pt idx="56">
                  <c:v>2452.3000000000002</c:v>
                </c:pt>
                <c:pt idx="57">
                  <c:v>978.7</c:v>
                </c:pt>
                <c:pt idx="58">
                  <c:v>1287.8</c:v>
                </c:pt>
                <c:pt idx="59">
                  <c:v>1831.9</c:v>
                </c:pt>
                <c:pt idx="60">
                  <c:v>1406.1</c:v>
                </c:pt>
                <c:pt idx="61">
                  <c:v>1577.5</c:v>
                </c:pt>
                <c:pt idx="62">
                  <c:v>1574.7</c:v>
                </c:pt>
                <c:pt idx="63">
                  <c:v>4041.1</c:v>
                </c:pt>
                <c:pt idx="64">
                  <c:v>2544</c:v>
                </c:pt>
                <c:pt idx="65">
                  <c:v>2495.8000000000002</c:v>
                </c:pt>
                <c:pt idx="66">
                  <c:v>1422.3</c:v>
                </c:pt>
                <c:pt idx="67">
                  <c:v>3520.2</c:v>
                </c:pt>
                <c:pt idx="68">
                  <c:v>2727.3</c:v>
                </c:pt>
              </c:numCache>
            </c:numRef>
          </c:yVal>
        </c:ser>
        <c:ser>
          <c:idx val="17"/>
          <c:order val="17"/>
          <c:tx>
            <c:v>o 1992</c:v>
          </c:tx>
          <c:spPr>
            <a:ln w="28575">
              <a:noFill/>
            </a:ln>
          </c:spPr>
          <c:marker>
            <c:symbol val="circle"/>
            <c:size val="6"/>
            <c:spPr>
              <a:noFill/>
              <a:ln>
                <a:solidFill>
                  <a:srgbClr val="FF0000"/>
                </a:solidFill>
                <a:prstDash val="solid"/>
              </a:ln>
            </c:spPr>
          </c:marker>
          <c:xVal>
            <c:numRef>
              <c:f>Sheet2!$AH$60:$AH$128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Sheet2!$J$60:$J$128</c:f>
              <c:numCache>
                <c:formatCode>General</c:formatCode>
                <c:ptCount val="69"/>
                <c:pt idx="0">
                  <c:v>396.1</c:v>
                </c:pt>
                <c:pt idx="1">
                  <c:v>285.10000000000002</c:v>
                </c:pt>
                <c:pt idx="2">
                  <c:v>370</c:v>
                </c:pt>
                <c:pt idx="3">
                  <c:v>272.10000000000002</c:v>
                </c:pt>
                <c:pt idx="4">
                  <c:v>277.89999999999969</c:v>
                </c:pt>
                <c:pt idx="5">
                  <c:v>668.9</c:v>
                </c:pt>
                <c:pt idx="6">
                  <c:v>1087.5999999999999</c:v>
                </c:pt>
                <c:pt idx="7">
                  <c:v>632.6</c:v>
                </c:pt>
                <c:pt idx="8">
                  <c:v>1145.3</c:v>
                </c:pt>
                <c:pt idx="9">
                  <c:v>681.9</c:v>
                </c:pt>
                <c:pt idx="10">
                  <c:v>1284.2</c:v>
                </c:pt>
                <c:pt idx="11">
                  <c:v>520.70000000000005</c:v>
                </c:pt>
                <c:pt idx="12">
                  <c:v>588.9</c:v>
                </c:pt>
                <c:pt idx="13">
                  <c:v>1737.2</c:v>
                </c:pt>
                <c:pt idx="14">
                  <c:v>733</c:v>
                </c:pt>
                <c:pt idx="15">
                  <c:v>1011.3</c:v>
                </c:pt>
                <c:pt idx="16">
                  <c:v>1060.2</c:v>
                </c:pt>
                <c:pt idx="17">
                  <c:v>1049.05</c:v>
                </c:pt>
                <c:pt idx="18">
                  <c:v>747.7</c:v>
                </c:pt>
                <c:pt idx="19">
                  <c:v>2163.6999999999998</c:v>
                </c:pt>
                <c:pt idx="20">
                  <c:v>927.6</c:v>
                </c:pt>
                <c:pt idx="21">
                  <c:v>1076.4000000000001</c:v>
                </c:pt>
                <c:pt idx="22">
                  <c:v>1344.6</c:v>
                </c:pt>
                <c:pt idx="23">
                  <c:v>1486.8</c:v>
                </c:pt>
                <c:pt idx="24">
                  <c:v>1459.8</c:v>
                </c:pt>
                <c:pt idx="25">
                  <c:v>861</c:v>
                </c:pt>
                <c:pt idx="26">
                  <c:v>2018.6</c:v>
                </c:pt>
                <c:pt idx="27">
                  <c:v>1081.5999999999999</c:v>
                </c:pt>
                <c:pt idx="28">
                  <c:v>1831.1</c:v>
                </c:pt>
                <c:pt idx="29">
                  <c:v>755.8</c:v>
                </c:pt>
                <c:pt idx="30">
                  <c:v>2459.5</c:v>
                </c:pt>
                <c:pt idx="31">
                  <c:v>1554.8</c:v>
                </c:pt>
                <c:pt idx="32">
                  <c:v>1090.8</c:v>
                </c:pt>
                <c:pt idx="33">
                  <c:v>1020.9</c:v>
                </c:pt>
                <c:pt idx="34">
                  <c:v>957</c:v>
                </c:pt>
                <c:pt idx="35">
                  <c:v>815.9</c:v>
                </c:pt>
                <c:pt idx="36">
                  <c:v>1399.7</c:v>
                </c:pt>
                <c:pt idx="37">
                  <c:v>1093.0999999999999</c:v>
                </c:pt>
                <c:pt idx="38">
                  <c:v>3500.3</c:v>
                </c:pt>
                <c:pt idx="39">
                  <c:v>939.5</c:v>
                </c:pt>
                <c:pt idx="40">
                  <c:v>1821.3</c:v>
                </c:pt>
                <c:pt idx="41">
                  <c:v>888.5</c:v>
                </c:pt>
                <c:pt idx="42">
                  <c:v>1536.1</c:v>
                </c:pt>
                <c:pt idx="43">
                  <c:v>1739.4</c:v>
                </c:pt>
                <c:pt idx="44">
                  <c:v>2071.6999999999998</c:v>
                </c:pt>
                <c:pt idx="45">
                  <c:v>1566.9</c:v>
                </c:pt>
                <c:pt idx="46">
                  <c:v>1202.4000000000001</c:v>
                </c:pt>
                <c:pt idx="47">
                  <c:v>1220</c:v>
                </c:pt>
                <c:pt idx="48">
                  <c:v>1465.1</c:v>
                </c:pt>
                <c:pt idx="49">
                  <c:v>2854.7</c:v>
                </c:pt>
                <c:pt idx="50">
                  <c:v>2037.6</c:v>
                </c:pt>
                <c:pt idx="51">
                  <c:v>2840.4</c:v>
                </c:pt>
                <c:pt idx="52">
                  <c:v>1335.3</c:v>
                </c:pt>
                <c:pt idx="53">
                  <c:v>934</c:v>
                </c:pt>
                <c:pt idx="54">
                  <c:v>1379.6</c:v>
                </c:pt>
                <c:pt idx="55">
                  <c:v>1926.7</c:v>
                </c:pt>
                <c:pt idx="56">
                  <c:v>2831.9</c:v>
                </c:pt>
                <c:pt idx="57">
                  <c:v>984.7</c:v>
                </c:pt>
                <c:pt idx="58">
                  <c:v>1531.2</c:v>
                </c:pt>
                <c:pt idx="59">
                  <c:v>1661.6</c:v>
                </c:pt>
                <c:pt idx="60">
                  <c:v>1191.2</c:v>
                </c:pt>
                <c:pt idx="61">
                  <c:v>1642.8</c:v>
                </c:pt>
                <c:pt idx="62">
                  <c:v>1628.3</c:v>
                </c:pt>
                <c:pt idx="63">
                  <c:v>3859.1</c:v>
                </c:pt>
                <c:pt idx="64">
                  <c:v>2885.3</c:v>
                </c:pt>
                <c:pt idx="65">
                  <c:v>2626.4</c:v>
                </c:pt>
                <c:pt idx="66">
                  <c:v>1552.6</c:v>
                </c:pt>
                <c:pt idx="67">
                  <c:v>3290.6</c:v>
                </c:pt>
                <c:pt idx="68">
                  <c:v>2532.9</c:v>
                </c:pt>
              </c:numCache>
            </c:numRef>
          </c:yVal>
        </c:ser>
        <c:ser>
          <c:idx val="18"/>
          <c:order val="18"/>
          <c:tx>
            <c:v>o 1993</c:v>
          </c:tx>
          <c:spPr>
            <a:ln w="28575">
              <a:noFill/>
            </a:ln>
          </c:spPr>
          <c:marker>
            <c:symbol val="circle"/>
            <c:size val="6"/>
            <c:spPr>
              <a:noFill/>
              <a:ln>
                <a:solidFill>
                  <a:srgbClr val="FF0000"/>
                </a:solidFill>
                <a:prstDash val="solid"/>
              </a:ln>
            </c:spPr>
          </c:marker>
          <c:xVal>
            <c:numRef>
              <c:f>Sheet2!$AI$60:$AI$128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Sheet2!$K$60:$K$128</c:f>
              <c:numCache>
                <c:formatCode>General</c:formatCode>
                <c:ptCount val="69"/>
                <c:pt idx="0">
                  <c:v>329.5</c:v>
                </c:pt>
                <c:pt idx="1">
                  <c:v>294.8</c:v>
                </c:pt>
                <c:pt idx="2">
                  <c:v>336.1</c:v>
                </c:pt>
                <c:pt idx="3">
                  <c:v>285.7</c:v>
                </c:pt>
                <c:pt idx="4">
                  <c:v>268.2</c:v>
                </c:pt>
                <c:pt idx="5">
                  <c:v>656.8</c:v>
                </c:pt>
                <c:pt idx="6">
                  <c:v>1101.7</c:v>
                </c:pt>
                <c:pt idx="7">
                  <c:v>704.1</c:v>
                </c:pt>
                <c:pt idx="8">
                  <c:v>1086.7</c:v>
                </c:pt>
                <c:pt idx="9">
                  <c:v>766.3</c:v>
                </c:pt>
                <c:pt idx="10">
                  <c:v>1160</c:v>
                </c:pt>
                <c:pt idx="11">
                  <c:v>510.8</c:v>
                </c:pt>
                <c:pt idx="12">
                  <c:v>599.79999999999995</c:v>
                </c:pt>
                <c:pt idx="13">
                  <c:v>1807.3</c:v>
                </c:pt>
                <c:pt idx="14">
                  <c:v>682.4</c:v>
                </c:pt>
                <c:pt idx="15">
                  <c:v>906</c:v>
                </c:pt>
                <c:pt idx="16">
                  <c:v>1096.3</c:v>
                </c:pt>
                <c:pt idx="17">
                  <c:v>1141.7</c:v>
                </c:pt>
                <c:pt idx="18">
                  <c:v>888.4</c:v>
                </c:pt>
                <c:pt idx="19">
                  <c:v>2089.8000000000002</c:v>
                </c:pt>
                <c:pt idx="20">
                  <c:v>985.2</c:v>
                </c:pt>
                <c:pt idx="21">
                  <c:v>1053.8</c:v>
                </c:pt>
                <c:pt idx="22">
                  <c:v>1399.8</c:v>
                </c:pt>
                <c:pt idx="23">
                  <c:v>1649.1</c:v>
                </c:pt>
                <c:pt idx="24">
                  <c:v>1450.4</c:v>
                </c:pt>
                <c:pt idx="25">
                  <c:v>918.8</c:v>
                </c:pt>
                <c:pt idx="26">
                  <c:v>1506.1</c:v>
                </c:pt>
                <c:pt idx="27">
                  <c:v>995.7</c:v>
                </c:pt>
                <c:pt idx="28">
                  <c:v>1856.5</c:v>
                </c:pt>
                <c:pt idx="29">
                  <c:v>803</c:v>
                </c:pt>
                <c:pt idx="30">
                  <c:v>2374.3000000000002</c:v>
                </c:pt>
                <c:pt idx="31">
                  <c:v>1605.4</c:v>
                </c:pt>
                <c:pt idx="32">
                  <c:v>1146</c:v>
                </c:pt>
                <c:pt idx="33">
                  <c:v>1023.4</c:v>
                </c:pt>
                <c:pt idx="34">
                  <c:v>819.1</c:v>
                </c:pt>
                <c:pt idx="35">
                  <c:v>882.7</c:v>
                </c:pt>
                <c:pt idx="36">
                  <c:v>1416.6</c:v>
                </c:pt>
                <c:pt idx="37">
                  <c:v>1104.5999999999999</c:v>
                </c:pt>
                <c:pt idx="38">
                  <c:v>3787.4</c:v>
                </c:pt>
                <c:pt idx="39">
                  <c:v>997</c:v>
                </c:pt>
                <c:pt idx="40">
                  <c:v>1815</c:v>
                </c:pt>
                <c:pt idx="41">
                  <c:v>874.7</c:v>
                </c:pt>
                <c:pt idx="42">
                  <c:v>1644.1</c:v>
                </c:pt>
                <c:pt idx="43">
                  <c:v>1698.2</c:v>
                </c:pt>
                <c:pt idx="44">
                  <c:v>1743.3</c:v>
                </c:pt>
                <c:pt idx="45">
                  <c:v>1533.3</c:v>
                </c:pt>
                <c:pt idx="46">
                  <c:v>1215.5999999999999</c:v>
                </c:pt>
                <c:pt idx="47">
                  <c:v>1254.0999999999999</c:v>
                </c:pt>
                <c:pt idx="48">
                  <c:v>1453.8</c:v>
                </c:pt>
                <c:pt idx="49">
                  <c:v>2517.3000000000002</c:v>
                </c:pt>
                <c:pt idx="50">
                  <c:v>1957.7</c:v>
                </c:pt>
                <c:pt idx="51">
                  <c:v>2717.4</c:v>
                </c:pt>
                <c:pt idx="52">
                  <c:v>1300.5999999999999</c:v>
                </c:pt>
                <c:pt idx="53">
                  <c:v>962.8</c:v>
                </c:pt>
                <c:pt idx="54">
                  <c:v>1665.8</c:v>
                </c:pt>
                <c:pt idx="55">
                  <c:v>1859.6</c:v>
                </c:pt>
                <c:pt idx="56">
                  <c:v>2921.8</c:v>
                </c:pt>
                <c:pt idx="57">
                  <c:v>965.2</c:v>
                </c:pt>
                <c:pt idx="58">
                  <c:v>1577.5</c:v>
                </c:pt>
                <c:pt idx="59">
                  <c:v>1643.2</c:v>
                </c:pt>
                <c:pt idx="60">
                  <c:v>1255.2</c:v>
                </c:pt>
                <c:pt idx="61">
                  <c:v>1767.7</c:v>
                </c:pt>
                <c:pt idx="62">
                  <c:v>1784.1</c:v>
                </c:pt>
                <c:pt idx="63">
                  <c:v>4041.2</c:v>
                </c:pt>
                <c:pt idx="64">
                  <c:v>2994</c:v>
                </c:pt>
                <c:pt idx="65">
                  <c:v>2601.6</c:v>
                </c:pt>
                <c:pt idx="66">
                  <c:v>1633.8</c:v>
                </c:pt>
                <c:pt idx="67">
                  <c:v>3874.9</c:v>
                </c:pt>
                <c:pt idx="68">
                  <c:v>2663.5</c:v>
                </c:pt>
              </c:numCache>
            </c:numRef>
          </c:yVal>
        </c:ser>
        <c:ser>
          <c:idx val="19"/>
          <c:order val="19"/>
          <c:tx>
            <c:v>o 1994</c:v>
          </c:tx>
          <c:spPr>
            <a:ln w="28575">
              <a:noFill/>
            </a:ln>
          </c:spPr>
          <c:marker>
            <c:symbol val="circle"/>
            <c:size val="6"/>
            <c:spPr>
              <a:noFill/>
              <a:ln>
                <a:solidFill>
                  <a:srgbClr val="FF0000"/>
                </a:solidFill>
                <a:prstDash val="solid"/>
              </a:ln>
            </c:spPr>
          </c:marker>
          <c:xVal>
            <c:numRef>
              <c:f>Sheet2!$AJ$60:$AJ$128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10</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10</c:v>
                </c:pt>
                <c:pt idx="68">
                  <c:v>#N/A</c:v>
                </c:pt>
              </c:numCache>
            </c:numRef>
          </c:xVal>
          <c:yVal>
            <c:numRef>
              <c:f>Sheet2!$L$60:$L$128</c:f>
              <c:numCache>
                <c:formatCode>General</c:formatCode>
                <c:ptCount val="69"/>
                <c:pt idx="0">
                  <c:v>421.8</c:v>
                </c:pt>
                <c:pt idx="1">
                  <c:v>270.89999999999969</c:v>
                </c:pt>
                <c:pt idx="2">
                  <c:v>388</c:v>
                </c:pt>
                <c:pt idx="3">
                  <c:v>287</c:v>
                </c:pt>
                <c:pt idx="4">
                  <c:v>276</c:v>
                </c:pt>
                <c:pt idx="5">
                  <c:v>725.6</c:v>
                </c:pt>
                <c:pt idx="6">
                  <c:v>950</c:v>
                </c:pt>
                <c:pt idx="7">
                  <c:v>947.9</c:v>
                </c:pt>
                <c:pt idx="8">
                  <c:v>1115.9000000000001</c:v>
                </c:pt>
                <c:pt idx="9">
                  <c:v>749.4</c:v>
                </c:pt>
                <c:pt idx="10">
                  <c:v>1078</c:v>
                </c:pt>
                <c:pt idx="11">
                  <c:v>481.5</c:v>
                </c:pt>
                <c:pt idx="12">
                  <c:v>635</c:v>
                </c:pt>
                <c:pt idx="13">
                  <c:v>1448</c:v>
                </c:pt>
                <c:pt idx="14">
                  <c:v>647.20000000000005</c:v>
                </c:pt>
                <c:pt idx="15">
                  <c:v>951.4</c:v>
                </c:pt>
                <c:pt idx="16">
                  <c:v>1050.8</c:v>
                </c:pt>
                <c:pt idx="17">
                  <c:v>1139.2</c:v>
                </c:pt>
                <c:pt idx="18">
                  <c:v>752.1</c:v>
                </c:pt>
                <c:pt idx="19">
                  <c:v>1860.9</c:v>
                </c:pt>
                <c:pt idx="20">
                  <c:v>1019.6</c:v>
                </c:pt>
                <c:pt idx="21">
                  <c:v>920.8</c:v>
                </c:pt>
                <c:pt idx="22">
                  <c:v>1210.0999999999999</c:v>
                </c:pt>
                <c:pt idx="23">
                  <c:v>1626.8</c:v>
                </c:pt>
                <c:pt idx="24">
                  <c:v>1620</c:v>
                </c:pt>
                <c:pt idx="25">
                  <c:v>980.4</c:v>
                </c:pt>
                <c:pt idx="26">
                  <c:v>1277.8</c:v>
                </c:pt>
                <c:pt idx="27">
                  <c:v>1004.7</c:v>
                </c:pt>
                <c:pt idx="28">
                  <c:v>1902.1</c:v>
                </c:pt>
                <c:pt idx="29">
                  <c:v>852</c:v>
                </c:pt>
                <c:pt idx="30">
                  <c:v>2059</c:v>
                </c:pt>
                <c:pt idx="31">
                  <c:v>1416.7</c:v>
                </c:pt>
                <c:pt idx="32">
                  <c:v>1080.5</c:v>
                </c:pt>
                <c:pt idx="33">
                  <c:v>1106</c:v>
                </c:pt>
                <c:pt idx="34">
                  <c:v>856.3</c:v>
                </c:pt>
                <c:pt idx="35">
                  <c:v>976.9</c:v>
                </c:pt>
                <c:pt idx="36">
                  <c:v>1402.9</c:v>
                </c:pt>
                <c:pt idx="37">
                  <c:v>1043.5999999999999</c:v>
                </c:pt>
                <c:pt idx="38">
                  <c:v>3840.6</c:v>
                </c:pt>
                <c:pt idx="39">
                  <c:v>995.6</c:v>
                </c:pt>
                <c:pt idx="40">
                  <c:v>1461.4</c:v>
                </c:pt>
                <c:pt idx="41">
                  <c:v>742.2</c:v>
                </c:pt>
                <c:pt idx="42">
                  <c:v>1608.7</c:v>
                </c:pt>
                <c:pt idx="43">
                  <c:v>1519.9</c:v>
                </c:pt>
                <c:pt idx="44">
                  <c:v>1589</c:v>
                </c:pt>
                <c:pt idx="45">
                  <c:v>1323.1</c:v>
                </c:pt>
                <c:pt idx="46">
                  <c:v>1113.7</c:v>
                </c:pt>
                <c:pt idx="47">
                  <c:v>1206.3</c:v>
                </c:pt>
                <c:pt idx="48">
                  <c:v>1307.5</c:v>
                </c:pt>
                <c:pt idx="49">
                  <c:v>2435.3000000000002</c:v>
                </c:pt>
                <c:pt idx="50">
                  <c:v>1915.5</c:v>
                </c:pt>
                <c:pt idx="51">
                  <c:v>2684.5</c:v>
                </c:pt>
                <c:pt idx="52">
                  <c:v>1215.5</c:v>
                </c:pt>
                <c:pt idx="53">
                  <c:v>1104.5</c:v>
                </c:pt>
                <c:pt idx="54">
                  <c:v>1700.5</c:v>
                </c:pt>
                <c:pt idx="55">
                  <c:v>2124.1999999999998</c:v>
                </c:pt>
                <c:pt idx="56">
                  <c:v>2662.6</c:v>
                </c:pt>
                <c:pt idx="57">
                  <c:v>1043.7</c:v>
                </c:pt>
                <c:pt idx="58">
                  <c:v>1613.5</c:v>
                </c:pt>
                <c:pt idx="59">
                  <c:v>1529.7</c:v>
                </c:pt>
                <c:pt idx="60">
                  <c:v>1322.5</c:v>
                </c:pt>
                <c:pt idx="61">
                  <c:v>1907.6</c:v>
                </c:pt>
                <c:pt idx="62">
                  <c:v>1798.4</c:v>
                </c:pt>
                <c:pt idx="63">
                  <c:v>3571</c:v>
                </c:pt>
                <c:pt idx="64">
                  <c:v>2834.4</c:v>
                </c:pt>
                <c:pt idx="65">
                  <c:v>2193.9</c:v>
                </c:pt>
                <c:pt idx="66">
                  <c:v>1568.3</c:v>
                </c:pt>
                <c:pt idx="67">
                  <c:v>3750.7</c:v>
                </c:pt>
                <c:pt idx="68">
                  <c:v>2687.2</c:v>
                </c:pt>
              </c:numCache>
            </c:numRef>
          </c:yVal>
        </c:ser>
        <c:ser>
          <c:idx val="20"/>
          <c:order val="20"/>
          <c:tx>
            <c:v>o 1995</c:v>
          </c:tx>
          <c:spPr>
            <a:ln w="28575">
              <a:noFill/>
            </a:ln>
          </c:spPr>
          <c:marker>
            <c:symbol val="circle"/>
            <c:size val="6"/>
            <c:spPr>
              <a:noFill/>
              <a:ln>
                <a:solidFill>
                  <a:srgbClr val="FF0000"/>
                </a:solidFill>
                <a:prstDash val="solid"/>
              </a:ln>
            </c:spPr>
          </c:marker>
          <c:xVal>
            <c:numRef>
              <c:f>Sheet2!$AK$60:$AK$128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Sheet2!$M$60:$M$128</c:f>
              <c:numCache>
                <c:formatCode>General</c:formatCode>
                <c:ptCount val="69"/>
                <c:pt idx="0">
                  <c:v>295</c:v>
                </c:pt>
                <c:pt idx="1">
                  <c:v>222</c:v>
                </c:pt>
                <c:pt idx="2">
                  <c:v>403.5</c:v>
                </c:pt>
                <c:pt idx="3">
                  <c:v>327.39999999999969</c:v>
                </c:pt>
                <c:pt idx="4">
                  <c:v>326.60000000000002</c:v>
                </c:pt>
                <c:pt idx="5">
                  <c:v>808.1</c:v>
                </c:pt>
                <c:pt idx="6">
                  <c:v>838.3</c:v>
                </c:pt>
                <c:pt idx="7">
                  <c:v>872.9</c:v>
                </c:pt>
                <c:pt idx="8">
                  <c:v>1111.4000000000001</c:v>
                </c:pt>
                <c:pt idx="9">
                  <c:v>812.6</c:v>
                </c:pt>
                <c:pt idx="10">
                  <c:v>956.8</c:v>
                </c:pt>
                <c:pt idx="11">
                  <c:v>482.7</c:v>
                </c:pt>
                <c:pt idx="12">
                  <c:v>773.4</c:v>
                </c:pt>
                <c:pt idx="13">
                  <c:v>762</c:v>
                </c:pt>
                <c:pt idx="14">
                  <c:v>517.9</c:v>
                </c:pt>
                <c:pt idx="15">
                  <c:v>846.4</c:v>
                </c:pt>
                <c:pt idx="16">
                  <c:v>859.8</c:v>
                </c:pt>
                <c:pt idx="17">
                  <c:v>1029.9000000000001</c:v>
                </c:pt>
                <c:pt idx="18">
                  <c:v>803</c:v>
                </c:pt>
                <c:pt idx="19">
                  <c:v>1557.8</c:v>
                </c:pt>
                <c:pt idx="20">
                  <c:v>676</c:v>
                </c:pt>
                <c:pt idx="21">
                  <c:v>861.3</c:v>
                </c:pt>
                <c:pt idx="22">
                  <c:v>926.1</c:v>
                </c:pt>
                <c:pt idx="23">
                  <c:v>1568.4</c:v>
                </c:pt>
                <c:pt idx="24">
                  <c:v>1456.6</c:v>
                </c:pt>
                <c:pt idx="25">
                  <c:v>875.8</c:v>
                </c:pt>
                <c:pt idx="26">
                  <c:v>1160.9000000000001</c:v>
                </c:pt>
                <c:pt idx="27">
                  <c:v>1195.7</c:v>
                </c:pt>
                <c:pt idx="28">
                  <c:v>1926</c:v>
                </c:pt>
                <c:pt idx="29">
                  <c:v>881.2</c:v>
                </c:pt>
                <c:pt idx="30">
                  <c:v>2034.4</c:v>
                </c:pt>
                <c:pt idx="31">
                  <c:v>1295.5</c:v>
                </c:pt>
                <c:pt idx="32">
                  <c:v>1067.5</c:v>
                </c:pt>
                <c:pt idx="33">
                  <c:v>1206.0999999999999</c:v>
                </c:pt>
                <c:pt idx="34">
                  <c:v>985</c:v>
                </c:pt>
                <c:pt idx="35">
                  <c:v>990.1</c:v>
                </c:pt>
                <c:pt idx="36">
                  <c:v>1292.7</c:v>
                </c:pt>
                <c:pt idx="37">
                  <c:v>1037.0999999999999</c:v>
                </c:pt>
                <c:pt idx="38">
                  <c:v>3985.3</c:v>
                </c:pt>
                <c:pt idx="39">
                  <c:v>958.6</c:v>
                </c:pt>
                <c:pt idx="40">
                  <c:v>1476.6</c:v>
                </c:pt>
                <c:pt idx="41">
                  <c:v>701.1</c:v>
                </c:pt>
                <c:pt idx="42">
                  <c:v>1128.0999999999999</c:v>
                </c:pt>
                <c:pt idx="43">
                  <c:v>1412.9</c:v>
                </c:pt>
                <c:pt idx="44">
                  <c:v>1532.4</c:v>
                </c:pt>
                <c:pt idx="45">
                  <c:v>1289.8</c:v>
                </c:pt>
                <c:pt idx="46">
                  <c:v>979.2</c:v>
                </c:pt>
                <c:pt idx="47">
                  <c:v>1138.8</c:v>
                </c:pt>
                <c:pt idx="48">
                  <c:v>1283.5</c:v>
                </c:pt>
                <c:pt idx="49">
                  <c:v>2184.6999999999998</c:v>
                </c:pt>
                <c:pt idx="50">
                  <c:v>1737.6</c:v>
                </c:pt>
                <c:pt idx="51">
                  <c:v>2549.8000000000002</c:v>
                </c:pt>
                <c:pt idx="52">
                  <c:v>1155.8</c:v>
                </c:pt>
                <c:pt idx="53">
                  <c:v>886.8</c:v>
                </c:pt>
                <c:pt idx="54">
                  <c:v>1835.3</c:v>
                </c:pt>
                <c:pt idx="55">
                  <c:v>2027.2</c:v>
                </c:pt>
                <c:pt idx="56">
                  <c:v>2661.6</c:v>
                </c:pt>
                <c:pt idx="57">
                  <c:v>1082.3</c:v>
                </c:pt>
                <c:pt idx="58">
                  <c:v>1424.3</c:v>
                </c:pt>
                <c:pt idx="59">
                  <c:v>1646.2</c:v>
                </c:pt>
                <c:pt idx="60">
                  <c:v>1428.9</c:v>
                </c:pt>
                <c:pt idx="61">
                  <c:v>1978.1</c:v>
                </c:pt>
                <c:pt idx="62">
                  <c:v>1790.4</c:v>
                </c:pt>
                <c:pt idx="63">
                  <c:v>3646.5</c:v>
                </c:pt>
                <c:pt idx="64">
                  <c:v>3017.7</c:v>
                </c:pt>
                <c:pt idx="65">
                  <c:v>2194.3500000000022</c:v>
                </c:pt>
                <c:pt idx="66">
                  <c:v>1769.3</c:v>
                </c:pt>
                <c:pt idx="67">
                  <c:v>3352.5</c:v>
                </c:pt>
                <c:pt idx="68">
                  <c:v>2407.6</c:v>
                </c:pt>
              </c:numCache>
            </c:numRef>
          </c:yVal>
        </c:ser>
        <c:ser>
          <c:idx val="21"/>
          <c:order val="21"/>
          <c:tx>
            <c:v>o 1996</c:v>
          </c:tx>
          <c:spPr>
            <a:ln w="28575">
              <a:noFill/>
            </a:ln>
          </c:spPr>
          <c:marker>
            <c:symbol val="circle"/>
            <c:size val="6"/>
            <c:spPr>
              <a:noFill/>
              <a:ln>
                <a:solidFill>
                  <a:srgbClr val="FF0000"/>
                </a:solidFill>
                <a:prstDash val="solid"/>
              </a:ln>
            </c:spPr>
          </c:marker>
          <c:xVal>
            <c:numRef>
              <c:f>Sheet2!$AL$60:$AL$128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Sheet2!$N$60:$N$128</c:f>
              <c:numCache>
                <c:formatCode>General</c:formatCode>
                <c:ptCount val="69"/>
                <c:pt idx="0">
                  <c:v>286.89999999999969</c:v>
                </c:pt>
                <c:pt idx="1">
                  <c:v>244.4</c:v>
                </c:pt>
                <c:pt idx="2">
                  <c:v>347.3</c:v>
                </c:pt>
                <c:pt idx="3">
                  <c:v>313</c:v>
                </c:pt>
                <c:pt idx="4">
                  <c:v>330.4</c:v>
                </c:pt>
                <c:pt idx="5">
                  <c:v>731.6</c:v>
                </c:pt>
                <c:pt idx="6">
                  <c:v>852.1</c:v>
                </c:pt>
                <c:pt idx="7">
                  <c:v>723.8</c:v>
                </c:pt>
                <c:pt idx="8">
                  <c:v>1055</c:v>
                </c:pt>
                <c:pt idx="9">
                  <c:v>721.5</c:v>
                </c:pt>
                <c:pt idx="10">
                  <c:v>868.6</c:v>
                </c:pt>
                <c:pt idx="11">
                  <c:v>481.8</c:v>
                </c:pt>
                <c:pt idx="12">
                  <c:v>710.9</c:v>
                </c:pt>
                <c:pt idx="13">
                  <c:v>621.4</c:v>
                </c:pt>
                <c:pt idx="14">
                  <c:v>464.1</c:v>
                </c:pt>
                <c:pt idx="15">
                  <c:v>860.2</c:v>
                </c:pt>
                <c:pt idx="16">
                  <c:v>756.4</c:v>
                </c:pt>
                <c:pt idx="17">
                  <c:v>1352.5</c:v>
                </c:pt>
                <c:pt idx="18">
                  <c:v>667.1</c:v>
                </c:pt>
                <c:pt idx="19">
                  <c:v>1344.2</c:v>
                </c:pt>
                <c:pt idx="20">
                  <c:v>579</c:v>
                </c:pt>
                <c:pt idx="21">
                  <c:v>742.3</c:v>
                </c:pt>
                <c:pt idx="22">
                  <c:v>841.9</c:v>
                </c:pt>
                <c:pt idx="23">
                  <c:v>1293</c:v>
                </c:pt>
                <c:pt idx="24">
                  <c:v>1392.9</c:v>
                </c:pt>
                <c:pt idx="25">
                  <c:v>828.5</c:v>
                </c:pt>
                <c:pt idx="26">
                  <c:v>1059.9000000000001</c:v>
                </c:pt>
                <c:pt idx="27">
                  <c:v>1233.0999999999999</c:v>
                </c:pt>
                <c:pt idx="28">
                  <c:v>1674.5</c:v>
                </c:pt>
                <c:pt idx="29">
                  <c:v>829.8</c:v>
                </c:pt>
                <c:pt idx="30">
                  <c:v>1796.4</c:v>
                </c:pt>
                <c:pt idx="31">
                  <c:v>1152</c:v>
                </c:pt>
                <c:pt idx="32">
                  <c:v>923.8</c:v>
                </c:pt>
                <c:pt idx="33">
                  <c:v>1100.5999999999999</c:v>
                </c:pt>
                <c:pt idx="34">
                  <c:v>1053.5</c:v>
                </c:pt>
                <c:pt idx="35">
                  <c:v>815.6</c:v>
                </c:pt>
                <c:pt idx="36">
                  <c:v>1130.2</c:v>
                </c:pt>
                <c:pt idx="37">
                  <c:v>970.8</c:v>
                </c:pt>
                <c:pt idx="38">
                  <c:v>3345.1</c:v>
                </c:pt>
                <c:pt idx="39">
                  <c:v>911.7</c:v>
                </c:pt>
                <c:pt idx="40">
                  <c:v>1326.8</c:v>
                </c:pt>
                <c:pt idx="41">
                  <c:v>758.5</c:v>
                </c:pt>
                <c:pt idx="42">
                  <c:v>1468.6</c:v>
                </c:pt>
                <c:pt idx="43">
                  <c:v>1414.5</c:v>
                </c:pt>
                <c:pt idx="44">
                  <c:v>1535</c:v>
                </c:pt>
                <c:pt idx="45">
                  <c:v>1087.8</c:v>
                </c:pt>
                <c:pt idx="46">
                  <c:v>804.4</c:v>
                </c:pt>
                <c:pt idx="47">
                  <c:v>977.4</c:v>
                </c:pt>
                <c:pt idx="48">
                  <c:v>1267.2</c:v>
                </c:pt>
                <c:pt idx="49">
                  <c:v>1981.2</c:v>
                </c:pt>
                <c:pt idx="50">
                  <c:v>1656.8</c:v>
                </c:pt>
                <c:pt idx="51">
                  <c:v>2350.9</c:v>
                </c:pt>
                <c:pt idx="52">
                  <c:v>1165.9000000000001</c:v>
                </c:pt>
                <c:pt idx="53">
                  <c:v>811.7</c:v>
                </c:pt>
                <c:pt idx="54">
                  <c:v>1970.1</c:v>
                </c:pt>
                <c:pt idx="55">
                  <c:v>1444.3</c:v>
                </c:pt>
                <c:pt idx="56">
                  <c:v>2469.8000000000002</c:v>
                </c:pt>
                <c:pt idx="57">
                  <c:v>952.6</c:v>
                </c:pt>
                <c:pt idx="58">
                  <c:v>1379.5</c:v>
                </c:pt>
                <c:pt idx="59">
                  <c:v>1538.4</c:v>
                </c:pt>
                <c:pt idx="60">
                  <c:v>1321</c:v>
                </c:pt>
                <c:pt idx="61">
                  <c:v>1882.8</c:v>
                </c:pt>
                <c:pt idx="62">
                  <c:v>1890.5</c:v>
                </c:pt>
                <c:pt idx="63">
                  <c:v>3316</c:v>
                </c:pt>
                <c:pt idx="64">
                  <c:v>2723</c:v>
                </c:pt>
                <c:pt idx="65">
                  <c:v>2194.8000000000002</c:v>
                </c:pt>
                <c:pt idx="66">
                  <c:v>1984.6</c:v>
                </c:pt>
                <c:pt idx="67">
                  <c:v>2727.8</c:v>
                </c:pt>
                <c:pt idx="68">
                  <c:v>2318.6</c:v>
                </c:pt>
              </c:numCache>
            </c:numRef>
          </c:yVal>
        </c:ser>
        <c:ser>
          <c:idx val="22"/>
          <c:order val="22"/>
          <c:tx>
            <c:v>o 1997</c:v>
          </c:tx>
          <c:spPr>
            <a:ln w="28575">
              <a:noFill/>
            </a:ln>
          </c:spPr>
          <c:marker>
            <c:symbol val="circle"/>
            <c:size val="6"/>
            <c:spPr>
              <a:noFill/>
              <a:ln>
                <a:solidFill>
                  <a:srgbClr val="FF0000"/>
                </a:solidFill>
                <a:prstDash val="solid"/>
              </a:ln>
            </c:spPr>
          </c:marker>
          <c:xVal>
            <c:numRef>
              <c:f>Sheet2!$AM$60:$AM$128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Sheet2!$O$60:$O$128</c:f>
              <c:numCache>
                <c:formatCode>General</c:formatCode>
                <c:ptCount val="69"/>
                <c:pt idx="0">
                  <c:v>274.3</c:v>
                </c:pt>
                <c:pt idx="1">
                  <c:v>239.7</c:v>
                </c:pt>
                <c:pt idx="2">
                  <c:v>365.8</c:v>
                </c:pt>
                <c:pt idx="3">
                  <c:v>299.5</c:v>
                </c:pt>
                <c:pt idx="4">
                  <c:v>288.89999999999969</c:v>
                </c:pt>
                <c:pt idx="5">
                  <c:v>736.6</c:v>
                </c:pt>
                <c:pt idx="6">
                  <c:v>791.3</c:v>
                </c:pt>
                <c:pt idx="7">
                  <c:v>678.1</c:v>
                </c:pt>
                <c:pt idx="8">
                  <c:v>894.7</c:v>
                </c:pt>
                <c:pt idx="9">
                  <c:v>728.5</c:v>
                </c:pt>
                <c:pt idx="10">
                  <c:v>827.7</c:v>
                </c:pt>
                <c:pt idx="11">
                  <c:v>502.8</c:v>
                </c:pt>
                <c:pt idx="12">
                  <c:v>645.70000000000005</c:v>
                </c:pt>
                <c:pt idx="13">
                  <c:v>621.1</c:v>
                </c:pt>
                <c:pt idx="14">
                  <c:v>401.7</c:v>
                </c:pt>
                <c:pt idx="15">
                  <c:v>907.5</c:v>
                </c:pt>
                <c:pt idx="16">
                  <c:v>675.2</c:v>
                </c:pt>
                <c:pt idx="17">
                  <c:v>1385.4</c:v>
                </c:pt>
                <c:pt idx="18">
                  <c:v>622</c:v>
                </c:pt>
                <c:pt idx="19">
                  <c:v>1268.4000000000001</c:v>
                </c:pt>
                <c:pt idx="20">
                  <c:v>570</c:v>
                </c:pt>
                <c:pt idx="21">
                  <c:v>672.3</c:v>
                </c:pt>
                <c:pt idx="22">
                  <c:v>914.1</c:v>
                </c:pt>
                <c:pt idx="23">
                  <c:v>1008.2</c:v>
                </c:pt>
                <c:pt idx="24">
                  <c:v>1205</c:v>
                </c:pt>
                <c:pt idx="25">
                  <c:v>794.6</c:v>
                </c:pt>
                <c:pt idx="26">
                  <c:v>902.5</c:v>
                </c:pt>
                <c:pt idx="27">
                  <c:v>1112.2</c:v>
                </c:pt>
                <c:pt idx="28">
                  <c:v>1604.4</c:v>
                </c:pt>
                <c:pt idx="29">
                  <c:v>797.4</c:v>
                </c:pt>
                <c:pt idx="30">
                  <c:v>1596.5</c:v>
                </c:pt>
                <c:pt idx="31">
                  <c:v>944.5</c:v>
                </c:pt>
                <c:pt idx="32">
                  <c:v>884.9</c:v>
                </c:pt>
                <c:pt idx="33">
                  <c:v>1052.8</c:v>
                </c:pt>
                <c:pt idx="34">
                  <c:v>984.1</c:v>
                </c:pt>
                <c:pt idx="35">
                  <c:v>738.9</c:v>
                </c:pt>
                <c:pt idx="36">
                  <c:v>1073</c:v>
                </c:pt>
                <c:pt idx="37">
                  <c:v>933.5</c:v>
                </c:pt>
                <c:pt idx="38">
                  <c:v>2734.7</c:v>
                </c:pt>
                <c:pt idx="39">
                  <c:v>886.6</c:v>
                </c:pt>
                <c:pt idx="40">
                  <c:v>1133.5</c:v>
                </c:pt>
                <c:pt idx="41">
                  <c:v>833.4</c:v>
                </c:pt>
                <c:pt idx="42">
                  <c:v>1317.1</c:v>
                </c:pt>
                <c:pt idx="43">
                  <c:v>1343.3</c:v>
                </c:pt>
                <c:pt idx="44">
                  <c:v>1383.8</c:v>
                </c:pt>
                <c:pt idx="46">
                  <c:v>786.4</c:v>
                </c:pt>
                <c:pt idx="47">
                  <c:v>968.2</c:v>
                </c:pt>
                <c:pt idx="48">
                  <c:v>1174.5</c:v>
                </c:pt>
                <c:pt idx="49">
                  <c:v>1895.5</c:v>
                </c:pt>
                <c:pt idx="50">
                  <c:v>1420.8</c:v>
                </c:pt>
                <c:pt idx="51">
                  <c:v>2262.1</c:v>
                </c:pt>
                <c:pt idx="52">
                  <c:v>1204.3</c:v>
                </c:pt>
                <c:pt idx="53">
                  <c:v>823.1</c:v>
                </c:pt>
                <c:pt idx="54">
                  <c:v>2077.1999999999998</c:v>
                </c:pt>
                <c:pt idx="55">
                  <c:v>1284.5</c:v>
                </c:pt>
                <c:pt idx="56">
                  <c:v>2023.8</c:v>
                </c:pt>
                <c:pt idx="57">
                  <c:v>1053</c:v>
                </c:pt>
                <c:pt idx="58">
                  <c:v>1177.8</c:v>
                </c:pt>
                <c:pt idx="59">
                  <c:v>1458.6</c:v>
                </c:pt>
                <c:pt idx="60">
                  <c:v>1259.8</c:v>
                </c:pt>
                <c:pt idx="61">
                  <c:v>1850.1</c:v>
                </c:pt>
                <c:pt idx="62">
                  <c:v>1746.7</c:v>
                </c:pt>
                <c:pt idx="63">
                  <c:v>3048.5</c:v>
                </c:pt>
                <c:pt idx="64">
                  <c:v>2420.3000000000002</c:v>
                </c:pt>
                <c:pt idx="65">
                  <c:v>2184.5</c:v>
                </c:pt>
                <c:pt idx="66">
                  <c:v>1856.7</c:v>
                </c:pt>
                <c:pt idx="67">
                  <c:v>2542.5</c:v>
                </c:pt>
                <c:pt idx="68">
                  <c:v>2151.5</c:v>
                </c:pt>
              </c:numCache>
            </c:numRef>
          </c:yVal>
        </c:ser>
        <c:ser>
          <c:idx val="23"/>
          <c:order val="23"/>
          <c:tx>
            <c:v>o 1998</c:v>
          </c:tx>
          <c:spPr>
            <a:ln w="28575">
              <a:noFill/>
            </a:ln>
          </c:spPr>
          <c:marker>
            <c:symbol val="circle"/>
            <c:size val="6"/>
            <c:spPr>
              <a:noFill/>
              <a:ln>
                <a:solidFill>
                  <a:srgbClr val="FF0000"/>
                </a:solidFill>
                <a:prstDash val="solid"/>
              </a:ln>
            </c:spPr>
          </c:marker>
          <c:xVal>
            <c:numRef>
              <c:f>Sheet2!$AN$60:$AN$128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Sheet2!$P$60:$P$128</c:f>
              <c:numCache>
                <c:formatCode>General</c:formatCode>
                <c:ptCount val="69"/>
                <c:pt idx="0">
                  <c:v>410.5</c:v>
                </c:pt>
                <c:pt idx="1">
                  <c:v>227</c:v>
                </c:pt>
                <c:pt idx="2">
                  <c:v>392.2</c:v>
                </c:pt>
                <c:pt idx="3">
                  <c:v>267.7</c:v>
                </c:pt>
                <c:pt idx="4">
                  <c:v>222.3</c:v>
                </c:pt>
                <c:pt idx="5">
                  <c:v>599.29999999999995</c:v>
                </c:pt>
                <c:pt idx="6">
                  <c:v>700.4</c:v>
                </c:pt>
                <c:pt idx="7">
                  <c:v>508.3</c:v>
                </c:pt>
                <c:pt idx="8">
                  <c:v>614.9</c:v>
                </c:pt>
                <c:pt idx="9">
                  <c:v>661.8</c:v>
                </c:pt>
                <c:pt idx="10">
                  <c:v>725.2</c:v>
                </c:pt>
                <c:pt idx="11">
                  <c:v>539.79999999999995</c:v>
                </c:pt>
                <c:pt idx="12">
                  <c:v>540.6</c:v>
                </c:pt>
                <c:pt idx="13">
                  <c:v>570</c:v>
                </c:pt>
                <c:pt idx="14">
                  <c:v>451.4</c:v>
                </c:pt>
                <c:pt idx="15">
                  <c:v>826.3</c:v>
                </c:pt>
                <c:pt idx="16">
                  <c:v>553.5</c:v>
                </c:pt>
                <c:pt idx="17">
                  <c:v>1314.6</c:v>
                </c:pt>
                <c:pt idx="18">
                  <c:v>559.4</c:v>
                </c:pt>
                <c:pt idx="19">
                  <c:v>1167.4000000000001</c:v>
                </c:pt>
                <c:pt idx="20">
                  <c:v>483.9</c:v>
                </c:pt>
                <c:pt idx="21">
                  <c:v>572.5</c:v>
                </c:pt>
                <c:pt idx="22">
                  <c:v>831.6</c:v>
                </c:pt>
                <c:pt idx="23">
                  <c:v>849.5</c:v>
                </c:pt>
                <c:pt idx="24">
                  <c:v>1052.2</c:v>
                </c:pt>
                <c:pt idx="25">
                  <c:v>734.3</c:v>
                </c:pt>
                <c:pt idx="26">
                  <c:v>869.6</c:v>
                </c:pt>
                <c:pt idx="27">
                  <c:v>942.9</c:v>
                </c:pt>
                <c:pt idx="28">
                  <c:v>1372.1</c:v>
                </c:pt>
                <c:pt idx="29">
                  <c:v>607.6</c:v>
                </c:pt>
                <c:pt idx="30">
                  <c:v>1358.5</c:v>
                </c:pt>
                <c:pt idx="31">
                  <c:v>859.7</c:v>
                </c:pt>
                <c:pt idx="32">
                  <c:v>832.3</c:v>
                </c:pt>
                <c:pt idx="33">
                  <c:v>1033.5999999999999</c:v>
                </c:pt>
                <c:pt idx="34">
                  <c:v>729.1</c:v>
                </c:pt>
                <c:pt idx="35">
                  <c:v>641.9</c:v>
                </c:pt>
                <c:pt idx="36">
                  <c:v>995.6</c:v>
                </c:pt>
                <c:pt idx="37">
                  <c:v>816.8</c:v>
                </c:pt>
                <c:pt idx="38">
                  <c:v>2093.9</c:v>
                </c:pt>
                <c:pt idx="39">
                  <c:v>909</c:v>
                </c:pt>
                <c:pt idx="40">
                  <c:v>989.7</c:v>
                </c:pt>
                <c:pt idx="41">
                  <c:v>665.3</c:v>
                </c:pt>
                <c:pt idx="42">
                  <c:v>1316.9</c:v>
                </c:pt>
                <c:pt idx="43">
                  <c:v>1153.5999999999999</c:v>
                </c:pt>
                <c:pt idx="44">
                  <c:v>1465.4</c:v>
                </c:pt>
                <c:pt idx="46">
                  <c:v>891</c:v>
                </c:pt>
                <c:pt idx="47">
                  <c:v>877.6</c:v>
                </c:pt>
                <c:pt idx="48">
                  <c:v>1123.0999999999999</c:v>
                </c:pt>
                <c:pt idx="49">
                  <c:v>1867.6</c:v>
                </c:pt>
                <c:pt idx="50">
                  <c:v>1327.1</c:v>
                </c:pt>
                <c:pt idx="51">
                  <c:v>2178.5</c:v>
                </c:pt>
                <c:pt idx="52">
                  <c:v>1131.4000000000001</c:v>
                </c:pt>
                <c:pt idx="53">
                  <c:v>905.2</c:v>
                </c:pt>
                <c:pt idx="54">
                  <c:v>1135.2</c:v>
                </c:pt>
                <c:pt idx="55">
                  <c:v>1129.0999999999999</c:v>
                </c:pt>
                <c:pt idx="56">
                  <c:v>1718.5</c:v>
                </c:pt>
                <c:pt idx="57">
                  <c:v>1002</c:v>
                </c:pt>
                <c:pt idx="58">
                  <c:v>1129.2</c:v>
                </c:pt>
                <c:pt idx="59">
                  <c:v>1307.9000000000001</c:v>
                </c:pt>
                <c:pt idx="60">
                  <c:v>1464.4</c:v>
                </c:pt>
                <c:pt idx="61">
                  <c:v>1525.4</c:v>
                </c:pt>
                <c:pt idx="62">
                  <c:v>1631.3</c:v>
                </c:pt>
                <c:pt idx="63">
                  <c:v>3047.3</c:v>
                </c:pt>
                <c:pt idx="64">
                  <c:v>2419.8000000000002</c:v>
                </c:pt>
                <c:pt idx="65">
                  <c:v>1862</c:v>
                </c:pt>
                <c:pt idx="66">
                  <c:v>1498.9</c:v>
                </c:pt>
                <c:pt idx="67">
                  <c:v>2570.9</c:v>
                </c:pt>
                <c:pt idx="68">
                  <c:v>2442.8000000000002</c:v>
                </c:pt>
              </c:numCache>
            </c:numRef>
          </c:yVal>
        </c:ser>
        <c:ser>
          <c:idx val="24"/>
          <c:order val="24"/>
          <c:tx>
            <c:v>o 1999</c:v>
          </c:tx>
          <c:spPr>
            <a:ln w="28575">
              <a:noFill/>
            </a:ln>
          </c:spPr>
          <c:marker>
            <c:symbol val="circle"/>
            <c:size val="6"/>
            <c:spPr>
              <a:noFill/>
              <a:ln>
                <a:solidFill>
                  <a:srgbClr val="FF0000"/>
                </a:solidFill>
                <a:prstDash val="solid"/>
              </a:ln>
            </c:spPr>
          </c:marker>
          <c:xVal>
            <c:numRef>
              <c:f>Sheet2!$AO$60:$AO$128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Sheet2!$Q$60:$Q$128</c:f>
              <c:numCache>
                <c:formatCode>General</c:formatCode>
                <c:ptCount val="69"/>
                <c:pt idx="0">
                  <c:v>320.5</c:v>
                </c:pt>
                <c:pt idx="1">
                  <c:v>238.5</c:v>
                </c:pt>
                <c:pt idx="2">
                  <c:v>356.6</c:v>
                </c:pt>
                <c:pt idx="3">
                  <c:v>253.6</c:v>
                </c:pt>
                <c:pt idx="4">
                  <c:v>219.4</c:v>
                </c:pt>
                <c:pt idx="5">
                  <c:v>580.9</c:v>
                </c:pt>
                <c:pt idx="6">
                  <c:v>686</c:v>
                </c:pt>
                <c:pt idx="7">
                  <c:v>547.29999999999995</c:v>
                </c:pt>
                <c:pt idx="8">
                  <c:v>529.5</c:v>
                </c:pt>
                <c:pt idx="9">
                  <c:v>578.5</c:v>
                </c:pt>
                <c:pt idx="10">
                  <c:v>598.4</c:v>
                </c:pt>
                <c:pt idx="11">
                  <c:v>525</c:v>
                </c:pt>
                <c:pt idx="12">
                  <c:v>497.9</c:v>
                </c:pt>
                <c:pt idx="13">
                  <c:v>568.1</c:v>
                </c:pt>
                <c:pt idx="14">
                  <c:v>561</c:v>
                </c:pt>
                <c:pt idx="15">
                  <c:v>772.2</c:v>
                </c:pt>
                <c:pt idx="16">
                  <c:v>588.79999999999995</c:v>
                </c:pt>
                <c:pt idx="17">
                  <c:v>1238.8</c:v>
                </c:pt>
                <c:pt idx="18">
                  <c:v>619.1</c:v>
                </c:pt>
                <c:pt idx="19">
                  <c:v>1062.5999999999999</c:v>
                </c:pt>
                <c:pt idx="20">
                  <c:v>402.6</c:v>
                </c:pt>
                <c:pt idx="21">
                  <c:v>570.79999999999995</c:v>
                </c:pt>
                <c:pt idx="22">
                  <c:v>767.3</c:v>
                </c:pt>
                <c:pt idx="23">
                  <c:v>776</c:v>
                </c:pt>
                <c:pt idx="24">
                  <c:v>992.2</c:v>
                </c:pt>
                <c:pt idx="25">
                  <c:v>786.5</c:v>
                </c:pt>
                <c:pt idx="26">
                  <c:v>851.1</c:v>
                </c:pt>
                <c:pt idx="27">
                  <c:v>862.9</c:v>
                </c:pt>
                <c:pt idx="28">
                  <c:v>1236.5999999999999</c:v>
                </c:pt>
                <c:pt idx="29">
                  <c:v>627.5</c:v>
                </c:pt>
                <c:pt idx="30">
                  <c:v>1283.2</c:v>
                </c:pt>
                <c:pt idx="31">
                  <c:v>744.9</c:v>
                </c:pt>
                <c:pt idx="32">
                  <c:v>832</c:v>
                </c:pt>
                <c:pt idx="33">
                  <c:v>913.9</c:v>
                </c:pt>
                <c:pt idx="34">
                  <c:v>870.4</c:v>
                </c:pt>
                <c:pt idx="35">
                  <c:v>652.9</c:v>
                </c:pt>
                <c:pt idx="36">
                  <c:v>859.3</c:v>
                </c:pt>
                <c:pt idx="37">
                  <c:v>854.6</c:v>
                </c:pt>
                <c:pt idx="38">
                  <c:v>1813.7</c:v>
                </c:pt>
                <c:pt idx="39">
                  <c:v>849.2</c:v>
                </c:pt>
                <c:pt idx="40">
                  <c:v>866.3</c:v>
                </c:pt>
                <c:pt idx="41">
                  <c:v>579.9</c:v>
                </c:pt>
                <c:pt idx="42">
                  <c:v>1250.7</c:v>
                </c:pt>
                <c:pt idx="43">
                  <c:v>1034.2</c:v>
                </c:pt>
                <c:pt idx="44">
                  <c:v>1414.3</c:v>
                </c:pt>
                <c:pt idx="45">
                  <c:v>737.4</c:v>
                </c:pt>
                <c:pt idx="46">
                  <c:v>877.6</c:v>
                </c:pt>
                <c:pt idx="47">
                  <c:v>752</c:v>
                </c:pt>
                <c:pt idx="48">
                  <c:v>1187.3</c:v>
                </c:pt>
                <c:pt idx="49">
                  <c:v>1749.1</c:v>
                </c:pt>
                <c:pt idx="50">
                  <c:v>1302.0999999999999</c:v>
                </c:pt>
                <c:pt idx="51">
                  <c:v>1732.6</c:v>
                </c:pt>
                <c:pt idx="52">
                  <c:v>1162.0999999999999</c:v>
                </c:pt>
                <c:pt idx="53">
                  <c:v>688.4</c:v>
                </c:pt>
                <c:pt idx="54">
                  <c:v>1016.2</c:v>
                </c:pt>
                <c:pt idx="55">
                  <c:v>1077.2</c:v>
                </c:pt>
                <c:pt idx="56">
                  <c:v>1627.7</c:v>
                </c:pt>
                <c:pt idx="57">
                  <c:v>1043.4000000000001</c:v>
                </c:pt>
                <c:pt idx="58">
                  <c:v>1152.4000000000001</c:v>
                </c:pt>
                <c:pt idx="59">
                  <c:v>1215.3</c:v>
                </c:pt>
                <c:pt idx="60">
                  <c:v>1604.5</c:v>
                </c:pt>
                <c:pt idx="61">
                  <c:v>1388.7</c:v>
                </c:pt>
                <c:pt idx="62">
                  <c:v>1607.3</c:v>
                </c:pt>
                <c:pt idx="63">
                  <c:v>2729.5</c:v>
                </c:pt>
                <c:pt idx="64">
                  <c:v>2438.6999999999998</c:v>
                </c:pt>
                <c:pt idx="65">
                  <c:v>1550</c:v>
                </c:pt>
                <c:pt idx="66">
                  <c:v>1410.5</c:v>
                </c:pt>
                <c:pt idx="67">
                  <c:v>2233</c:v>
                </c:pt>
                <c:pt idx="68">
                  <c:v>2253.9</c:v>
                </c:pt>
              </c:numCache>
            </c:numRef>
          </c:yVal>
        </c:ser>
        <c:ser>
          <c:idx val="25"/>
          <c:order val="25"/>
          <c:tx>
            <c:v>o 2000</c:v>
          </c:tx>
          <c:spPr>
            <a:ln w="28575">
              <a:noFill/>
            </a:ln>
          </c:spPr>
          <c:marker>
            <c:symbol val="circle"/>
            <c:size val="6"/>
            <c:spPr>
              <a:noFill/>
              <a:ln>
                <a:solidFill>
                  <a:srgbClr val="FF0000"/>
                </a:solidFill>
                <a:prstDash val="solid"/>
              </a:ln>
            </c:spPr>
          </c:marker>
          <c:xVal>
            <c:numRef>
              <c:f>Sheet2!$AP$60:$AP$128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Sheet2!$R$60:$R$128</c:f>
              <c:numCache>
                <c:formatCode>General</c:formatCode>
                <c:ptCount val="69"/>
                <c:pt idx="0">
                  <c:v>265.10000000000002</c:v>
                </c:pt>
                <c:pt idx="1">
                  <c:v>221.7</c:v>
                </c:pt>
                <c:pt idx="2">
                  <c:v>280.60000000000002</c:v>
                </c:pt>
                <c:pt idx="3">
                  <c:v>262.7</c:v>
                </c:pt>
                <c:pt idx="4">
                  <c:v>252</c:v>
                </c:pt>
                <c:pt idx="5">
                  <c:v>550.6</c:v>
                </c:pt>
                <c:pt idx="6">
                  <c:v>779.9</c:v>
                </c:pt>
                <c:pt idx="7">
                  <c:v>430.8</c:v>
                </c:pt>
                <c:pt idx="8">
                  <c:v>587.20000000000005</c:v>
                </c:pt>
                <c:pt idx="9">
                  <c:v>603.70000000000005</c:v>
                </c:pt>
                <c:pt idx="10">
                  <c:v>585.29999999999995</c:v>
                </c:pt>
                <c:pt idx="11">
                  <c:v>455</c:v>
                </c:pt>
                <c:pt idx="12">
                  <c:v>471.9</c:v>
                </c:pt>
                <c:pt idx="13">
                  <c:v>547.4</c:v>
                </c:pt>
                <c:pt idx="14">
                  <c:v>690.9</c:v>
                </c:pt>
                <c:pt idx="15">
                  <c:v>742.1</c:v>
                </c:pt>
                <c:pt idx="16">
                  <c:v>541.20000000000005</c:v>
                </c:pt>
                <c:pt idx="17">
                  <c:v>811.3</c:v>
                </c:pt>
                <c:pt idx="18">
                  <c:v>597.79999999999995</c:v>
                </c:pt>
                <c:pt idx="19">
                  <c:v>945.2</c:v>
                </c:pt>
                <c:pt idx="20">
                  <c:v>289.8</c:v>
                </c:pt>
                <c:pt idx="21">
                  <c:v>520.20000000000005</c:v>
                </c:pt>
                <c:pt idx="22">
                  <c:v>769.1</c:v>
                </c:pt>
                <c:pt idx="23">
                  <c:v>786.2</c:v>
                </c:pt>
                <c:pt idx="24">
                  <c:v>898.6</c:v>
                </c:pt>
                <c:pt idx="25">
                  <c:v>724.7</c:v>
                </c:pt>
                <c:pt idx="26">
                  <c:v>713.7</c:v>
                </c:pt>
                <c:pt idx="27">
                  <c:v>795.8</c:v>
                </c:pt>
                <c:pt idx="28">
                  <c:v>1076.9000000000001</c:v>
                </c:pt>
                <c:pt idx="29">
                  <c:v>647.79999999999995</c:v>
                </c:pt>
                <c:pt idx="30">
                  <c:v>1359.8</c:v>
                </c:pt>
                <c:pt idx="31">
                  <c:v>696.8</c:v>
                </c:pt>
                <c:pt idx="32">
                  <c:v>738.4</c:v>
                </c:pt>
                <c:pt idx="33">
                  <c:v>933.2</c:v>
                </c:pt>
                <c:pt idx="34">
                  <c:v>758.3</c:v>
                </c:pt>
                <c:pt idx="35">
                  <c:v>585.5</c:v>
                </c:pt>
                <c:pt idx="36">
                  <c:v>780.6</c:v>
                </c:pt>
                <c:pt idx="37">
                  <c:v>843</c:v>
                </c:pt>
                <c:pt idx="38">
                  <c:v>1495.9</c:v>
                </c:pt>
                <c:pt idx="39">
                  <c:v>833.4</c:v>
                </c:pt>
                <c:pt idx="40">
                  <c:v>836.7</c:v>
                </c:pt>
                <c:pt idx="41">
                  <c:v>604.4</c:v>
                </c:pt>
                <c:pt idx="42">
                  <c:v>1144.9000000000001</c:v>
                </c:pt>
                <c:pt idx="43">
                  <c:v>1115.7</c:v>
                </c:pt>
                <c:pt idx="44">
                  <c:v>1349.7</c:v>
                </c:pt>
                <c:pt idx="45">
                  <c:v>840.1</c:v>
                </c:pt>
                <c:pt idx="46">
                  <c:v>957.4</c:v>
                </c:pt>
                <c:pt idx="47">
                  <c:v>765.8</c:v>
                </c:pt>
                <c:pt idx="48">
                  <c:v>1100.0999999999999</c:v>
                </c:pt>
                <c:pt idx="49">
                  <c:v>1626.3</c:v>
                </c:pt>
                <c:pt idx="50">
                  <c:v>1242.8</c:v>
                </c:pt>
                <c:pt idx="51">
                  <c:v>1606.4</c:v>
                </c:pt>
                <c:pt idx="52">
                  <c:v>1122.3</c:v>
                </c:pt>
                <c:pt idx="53">
                  <c:v>758.9</c:v>
                </c:pt>
                <c:pt idx="54">
                  <c:v>862.1</c:v>
                </c:pt>
                <c:pt idx="55">
                  <c:v>1249.5999999999999</c:v>
                </c:pt>
                <c:pt idx="56">
                  <c:v>1507.2</c:v>
                </c:pt>
                <c:pt idx="57">
                  <c:v>956.7</c:v>
                </c:pt>
                <c:pt idx="58">
                  <c:v>1219.2</c:v>
                </c:pt>
                <c:pt idx="59">
                  <c:v>1262.7</c:v>
                </c:pt>
                <c:pt idx="60">
                  <c:v>1503.2</c:v>
                </c:pt>
                <c:pt idx="61">
                  <c:v>1151</c:v>
                </c:pt>
                <c:pt idx="62">
                  <c:v>1623</c:v>
                </c:pt>
                <c:pt idx="63">
                  <c:v>2781.2</c:v>
                </c:pt>
                <c:pt idx="64">
                  <c:v>2457.6</c:v>
                </c:pt>
                <c:pt idx="65">
                  <c:v>1261.0999999999999</c:v>
                </c:pt>
                <c:pt idx="66">
                  <c:v>1479.2</c:v>
                </c:pt>
                <c:pt idx="67">
                  <c:v>2279.1999999999998</c:v>
                </c:pt>
                <c:pt idx="68">
                  <c:v>2324.5</c:v>
                </c:pt>
              </c:numCache>
            </c:numRef>
          </c:yVal>
        </c:ser>
        <c:ser>
          <c:idx val="26"/>
          <c:order val="26"/>
          <c:tx>
            <c:v>o 2001</c:v>
          </c:tx>
          <c:spPr>
            <a:ln w="28575">
              <a:noFill/>
            </a:ln>
          </c:spPr>
          <c:marker>
            <c:symbol val="circle"/>
            <c:size val="6"/>
            <c:spPr>
              <a:noFill/>
              <a:ln>
                <a:solidFill>
                  <a:srgbClr val="FF0000"/>
                </a:solidFill>
                <a:prstDash val="solid"/>
              </a:ln>
            </c:spPr>
          </c:marker>
          <c:xVal>
            <c:numRef>
              <c:f>Sheet2!$AQ$60:$AQ$128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Sheet2!$S$60:$S$128</c:f>
              <c:numCache>
                <c:formatCode>General</c:formatCode>
                <c:ptCount val="69"/>
                <c:pt idx="0">
                  <c:v>282.89999999999969</c:v>
                </c:pt>
                <c:pt idx="1">
                  <c:v>194.5</c:v>
                </c:pt>
                <c:pt idx="2">
                  <c:v>259</c:v>
                </c:pt>
                <c:pt idx="3">
                  <c:v>277</c:v>
                </c:pt>
                <c:pt idx="4">
                  <c:v>285.2</c:v>
                </c:pt>
                <c:pt idx="5">
                  <c:v>609.1</c:v>
                </c:pt>
                <c:pt idx="6">
                  <c:v>760.9</c:v>
                </c:pt>
                <c:pt idx="7">
                  <c:v>393.9</c:v>
                </c:pt>
                <c:pt idx="8">
                  <c:v>598.29999999999995</c:v>
                </c:pt>
                <c:pt idx="9">
                  <c:v>613.6</c:v>
                </c:pt>
                <c:pt idx="10">
                  <c:v>594.20000000000005</c:v>
                </c:pt>
                <c:pt idx="11">
                  <c:v>485.1</c:v>
                </c:pt>
                <c:pt idx="12">
                  <c:v>473.6</c:v>
                </c:pt>
                <c:pt idx="13">
                  <c:v>578.1</c:v>
                </c:pt>
                <c:pt idx="14">
                  <c:v>815.5</c:v>
                </c:pt>
                <c:pt idx="15">
                  <c:v>778.9</c:v>
                </c:pt>
                <c:pt idx="16">
                  <c:v>535.6</c:v>
                </c:pt>
                <c:pt idx="17">
                  <c:v>693.5</c:v>
                </c:pt>
                <c:pt idx="18">
                  <c:v>536.29999999999995</c:v>
                </c:pt>
                <c:pt idx="19">
                  <c:v>927.5</c:v>
                </c:pt>
                <c:pt idx="20">
                  <c:v>333.8</c:v>
                </c:pt>
                <c:pt idx="21">
                  <c:v>539.6</c:v>
                </c:pt>
                <c:pt idx="22">
                  <c:v>725.1</c:v>
                </c:pt>
                <c:pt idx="23">
                  <c:v>830.7</c:v>
                </c:pt>
                <c:pt idx="24">
                  <c:v>940.3</c:v>
                </c:pt>
                <c:pt idx="25">
                  <c:v>604.1</c:v>
                </c:pt>
                <c:pt idx="26">
                  <c:v>706.6</c:v>
                </c:pt>
                <c:pt idx="27">
                  <c:v>743</c:v>
                </c:pt>
                <c:pt idx="28">
                  <c:v>848.3</c:v>
                </c:pt>
                <c:pt idx="29">
                  <c:v>625.20000000000005</c:v>
                </c:pt>
                <c:pt idx="30">
                  <c:v>1388.2</c:v>
                </c:pt>
                <c:pt idx="31">
                  <c:v>726</c:v>
                </c:pt>
                <c:pt idx="32">
                  <c:v>770.7</c:v>
                </c:pt>
                <c:pt idx="33">
                  <c:v>958</c:v>
                </c:pt>
                <c:pt idx="34">
                  <c:v>868.7</c:v>
                </c:pt>
                <c:pt idx="35">
                  <c:v>663.2</c:v>
                </c:pt>
                <c:pt idx="36">
                  <c:v>824.2</c:v>
                </c:pt>
                <c:pt idx="37">
                  <c:v>897.4</c:v>
                </c:pt>
                <c:pt idx="38">
                  <c:v>1391.1</c:v>
                </c:pt>
                <c:pt idx="39">
                  <c:v>770.4</c:v>
                </c:pt>
                <c:pt idx="40">
                  <c:v>794.55</c:v>
                </c:pt>
                <c:pt idx="41">
                  <c:v>707.9</c:v>
                </c:pt>
                <c:pt idx="42">
                  <c:v>1165.8</c:v>
                </c:pt>
                <c:pt idx="43">
                  <c:v>979</c:v>
                </c:pt>
                <c:pt idx="44">
                  <c:v>1462.4</c:v>
                </c:pt>
                <c:pt idx="45">
                  <c:v>1207.0999999999999</c:v>
                </c:pt>
                <c:pt idx="46">
                  <c:v>868.2</c:v>
                </c:pt>
                <c:pt idx="47">
                  <c:v>798.2</c:v>
                </c:pt>
                <c:pt idx="48">
                  <c:v>1172.0999999999999</c:v>
                </c:pt>
                <c:pt idx="49">
                  <c:v>1593.9</c:v>
                </c:pt>
                <c:pt idx="50">
                  <c:v>1243.5</c:v>
                </c:pt>
                <c:pt idx="51">
                  <c:v>1533.4</c:v>
                </c:pt>
                <c:pt idx="52">
                  <c:v>1153.7</c:v>
                </c:pt>
                <c:pt idx="53">
                  <c:v>970.8</c:v>
                </c:pt>
                <c:pt idx="54">
                  <c:v>930.5</c:v>
                </c:pt>
                <c:pt idx="55">
                  <c:v>1265.0999999999999</c:v>
                </c:pt>
                <c:pt idx="56">
                  <c:v>1736.2</c:v>
                </c:pt>
                <c:pt idx="57">
                  <c:v>908.6</c:v>
                </c:pt>
                <c:pt idx="58">
                  <c:v>1327.4</c:v>
                </c:pt>
                <c:pt idx="59">
                  <c:v>1340.4</c:v>
                </c:pt>
                <c:pt idx="60">
                  <c:v>1409.7</c:v>
                </c:pt>
                <c:pt idx="61">
                  <c:v>1060.4000000000001</c:v>
                </c:pt>
                <c:pt idx="62">
                  <c:v>1631.4</c:v>
                </c:pt>
                <c:pt idx="63">
                  <c:v>2534</c:v>
                </c:pt>
                <c:pt idx="64">
                  <c:v>2239.5</c:v>
                </c:pt>
                <c:pt idx="65">
                  <c:v>1309.9000000000001</c:v>
                </c:pt>
                <c:pt idx="66">
                  <c:v>1658.3</c:v>
                </c:pt>
                <c:pt idx="67">
                  <c:v>2187.6</c:v>
                </c:pt>
                <c:pt idx="68">
                  <c:v>2190.5</c:v>
                </c:pt>
              </c:numCache>
            </c:numRef>
          </c:yVal>
        </c:ser>
        <c:ser>
          <c:idx val="27"/>
          <c:order val="27"/>
          <c:tx>
            <c:v>o 2002</c:v>
          </c:tx>
          <c:spPr>
            <a:ln w="28575">
              <a:noFill/>
            </a:ln>
          </c:spPr>
          <c:marker>
            <c:symbol val="circle"/>
            <c:size val="6"/>
            <c:spPr>
              <a:noFill/>
              <a:ln>
                <a:solidFill>
                  <a:srgbClr val="FF0000"/>
                </a:solidFill>
                <a:prstDash val="solid"/>
              </a:ln>
            </c:spPr>
          </c:marker>
          <c:xVal>
            <c:numRef>
              <c:f>Sheet2!$AR$60:$AR$128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Sheet2!$T$60:$T$128</c:f>
              <c:numCache>
                <c:formatCode>General</c:formatCode>
                <c:ptCount val="69"/>
                <c:pt idx="0">
                  <c:v>238</c:v>
                </c:pt>
                <c:pt idx="1">
                  <c:v>219.1</c:v>
                </c:pt>
                <c:pt idx="2">
                  <c:v>288.5</c:v>
                </c:pt>
                <c:pt idx="3">
                  <c:v>288.89999999999969</c:v>
                </c:pt>
                <c:pt idx="4">
                  <c:v>276.39999999999969</c:v>
                </c:pt>
                <c:pt idx="5">
                  <c:v>445.6</c:v>
                </c:pt>
                <c:pt idx="6">
                  <c:v>661.1</c:v>
                </c:pt>
                <c:pt idx="7">
                  <c:v>408.5</c:v>
                </c:pt>
                <c:pt idx="8">
                  <c:v>536.4</c:v>
                </c:pt>
                <c:pt idx="9">
                  <c:v>684.9</c:v>
                </c:pt>
                <c:pt idx="10">
                  <c:v>567.1</c:v>
                </c:pt>
                <c:pt idx="11">
                  <c:v>507.8</c:v>
                </c:pt>
                <c:pt idx="12">
                  <c:v>467.1</c:v>
                </c:pt>
                <c:pt idx="13">
                  <c:v>630.9</c:v>
                </c:pt>
                <c:pt idx="14">
                  <c:v>817.1</c:v>
                </c:pt>
                <c:pt idx="15">
                  <c:v>688.9</c:v>
                </c:pt>
                <c:pt idx="16">
                  <c:v>550.79999999999995</c:v>
                </c:pt>
                <c:pt idx="17">
                  <c:v>717.9</c:v>
                </c:pt>
                <c:pt idx="18">
                  <c:v>581.4</c:v>
                </c:pt>
                <c:pt idx="19">
                  <c:v>789.6</c:v>
                </c:pt>
                <c:pt idx="20">
                  <c:v>418.1</c:v>
                </c:pt>
                <c:pt idx="21">
                  <c:v>534.20000000000005</c:v>
                </c:pt>
                <c:pt idx="22">
                  <c:v>705.4</c:v>
                </c:pt>
                <c:pt idx="23">
                  <c:v>765.9</c:v>
                </c:pt>
                <c:pt idx="24">
                  <c:v>852.6</c:v>
                </c:pt>
                <c:pt idx="25">
                  <c:v>541.70000000000005</c:v>
                </c:pt>
                <c:pt idx="26">
                  <c:v>759.7</c:v>
                </c:pt>
                <c:pt idx="27">
                  <c:v>785.1</c:v>
                </c:pt>
                <c:pt idx="28">
                  <c:v>828.5</c:v>
                </c:pt>
                <c:pt idx="29">
                  <c:v>633.1</c:v>
                </c:pt>
                <c:pt idx="30">
                  <c:v>1349.5</c:v>
                </c:pt>
                <c:pt idx="31">
                  <c:v>757.8</c:v>
                </c:pt>
                <c:pt idx="32">
                  <c:v>727.6</c:v>
                </c:pt>
                <c:pt idx="33">
                  <c:v>909.8</c:v>
                </c:pt>
                <c:pt idx="34">
                  <c:v>711.9</c:v>
                </c:pt>
                <c:pt idx="35">
                  <c:v>643.9</c:v>
                </c:pt>
                <c:pt idx="36">
                  <c:v>822.3</c:v>
                </c:pt>
                <c:pt idx="37">
                  <c:v>908</c:v>
                </c:pt>
                <c:pt idx="38">
                  <c:v>1143.3</c:v>
                </c:pt>
                <c:pt idx="39">
                  <c:v>805.1</c:v>
                </c:pt>
                <c:pt idx="40">
                  <c:v>752.4</c:v>
                </c:pt>
                <c:pt idx="41">
                  <c:v>680.8</c:v>
                </c:pt>
                <c:pt idx="42">
                  <c:v>1068.7</c:v>
                </c:pt>
                <c:pt idx="43">
                  <c:v>915.6</c:v>
                </c:pt>
                <c:pt idx="44">
                  <c:v>1370.8</c:v>
                </c:pt>
                <c:pt idx="45">
                  <c:v>1275.2</c:v>
                </c:pt>
                <c:pt idx="46">
                  <c:v>1107.5999999999999</c:v>
                </c:pt>
                <c:pt idx="47">
                  <c:v>840.6</c:v>
                </c:pt>
                <c:pt idx="48">
                  <c:v>1223.0999999999999</c:v>
                </c:pt>
                <c:pt idx="49">
                  <c:v>1352.4</c:v>
                </c:pt>
                <c:pt idx="50">
                  <c:v>1166.2</c:v>
                </c:pt>
                <c:pt idx="51">
                  <c:v>1498.2</c:v>
                </c:pt>
                <c:pt idx="52">
                  <c:v>1086.3</c:v>
                </c:pt>
                <c:pt idx="53">
                  <c:v>1008.9</c:v>
                </c:pt>
                <c:pt idx="54">
                  <c:v>935</c:v>
                </c:pt>
                <c:pt idx="55">
                  <c:v>1271.7</c:v>
                </c:pt>
                <c:pt idx="56">
                  <c:v>1595.6</c:v>
                </c:pt>
                <c:pt idx="57">
                  <c:v>954.8</c:v>
                </c:pt>
                <c:pt idx="58">
                  <c:v>1461.3</c:v>
                </c:pt>
                <c:pt idx="59">
                  <c:v>1322.3</c:v>
                </c:pt>
                <c:pt idx="60">
                  <c:v>1315.9</c:v>
                </c:pt>
                <c:pt idx="61">
                  <c:v>1056.0999999999999</c:v>
                </c:pt>
                <c:pt idx="62">
                  <c:v>1549.1</c:v>
                </c:pt>
                <c:pt idx="63">
                  <c:v>2289.1</c:v>
                </c:pt>
                <c:pt idx="64">
                  <c:v>2054.9</c:v>
                </c:pt>
                <c:pt idx="65">
                  <c:v>1366.9</c:v>
                </c:pt>
                <c:pt idx="66">
                  <c:v>1572.4</c:v>
                </c:pt>
                <c:pt idx="67">
                  <c:v>2124.3000000000002</c:v>
                </c:pt>
                <c:pt idx="68">
                  <c:v>2072.8000000000002</c:v>
                </c:pt>
              </c:numCache>
            </c:numRef>
          </c:yVal>
        </c:ser>
        <c:ser>
          <c:idx val="28"/>
          <c:order val="28"/>
          <c:tx>
            <c:v>o 2003</c:v>
          </c:tx>
          <c:spPr>
            <a:ln w="28575">
              <a:noFill/>
            </a:ln>
          </c:spPr>
          <c:marker>
            <c:symbol val="circle"/>
            <c:size val="6"/>
            <c:spPr>
              <a:noFill/>
              <a:ln>
                <a:solidFill>
                  <a:srgbClr val="FF0000"/>
                </a:solidFill>
                <a:prstDash val="solid"/>
              </a:ln>
            </c:spPr>
          </c:marker>
          <c:xVal>
            <c:numRef>
              <c:f>Sheet2!$AS$60:$AS$128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Sheet2!$U$60:$U$128</c:f>
              <c:numCache>
                <c:formatCode>General</c:formatCode>
                <c:ptCount val="69"/>
                <c:pt idx="0">
                  <c:v>230</c:v>
                </c:pt>
                <c:pt idx="1">
                  <c:v>212.1</c:v>
                </c:pt>
                <c:pt idx="2">
                  <c:v>293.2</c:v>
                </c:pt>
                <c:pt idx="3">
                  <c:v>287.89999999999969</c:v>
                </c:pt>
                <c:pt idx="4">
                  <c:v>302</c:v>
                </c:pt>
                <c:pt idx="5">
                  <c:v>371.3</c:v>
                </c:pt>
                <c:pt idx="6">
                  <c:v>597.20000000000005</c:v>
                </c:pt>
                <c:pt idx="7">
                  <c:v>392.4</c:v>
                </c:pt>
                <c:pt idx="8">
                  <c:v>517.20000000000005</c:v>
                </c:pt>
                <c:pt idx="9">
                  <c:v>537.4</c:v>
                </c:pt>
                <c:pt idx="10">
                  <c:v>578.70000000000005</c:v>
                </c:pt>
                <c:pt idx="11">
                  <c:v>462.4</c:v>
                </c:pt>
                <c:pt idx="12">
                  <c:v>462.1</c:v>
                </c:pt>
                <c:pt idx="13">
                  <c:v>588.6</c:v>
                </c:pt>
                <c:pt idx="14">
                  <c:v>598</c:v>
                </c:pt>
                <c:pt idx="15">
                  <c:v>646.1</c:v>
                </c:pt>
                <c:pt idx="16">
                  <c:v>515.29999999999995</c:v>
                </c:pt>
                <c:pt idx="17">
                  <c:v>654</c:v>
                </c:pt>
                <c:pt idx="18">
                  <c:v>538.5</c:v>
                </c:pt>
                <c:pt idx="19">
                  <c:v>734.1</c:v>
                </c:pt>
                <c:pt idx="20">
                  <c:v>574.1</c:v>
                </c:pt>
                <c:pt idx="21">
                  <c:v>624</c:v>
                </c:pt>
                <c:pt idx="22">
                  <c:v>684.4</c:v>
                </c:pt>
                <c:pt idx="23">
                  <c:v>691.4</c:v>
                </c:pt>
                <c:pt idx="24">
                  <c:v>779.1</c:v>
                </c:pt>
                <c:pt idx="25">
                  <c:v>468.3</c:v>
                </c:pt>
                <c:pt idx="26">
                  <c:v>650.79999999999995</c:v>
                </c:pt>
                <c:pt idx="27">
                  <c:v>655.1</c:v>
                </c:pt>
                <c:pt idx="28">
                  <c:v>813.5</c:v>
                </c:pt>
                <c:pt idx="29">
                  <c:v>524.20000000000005</c:v>
                </c:pt>
                <c:pt idx="30">
                  <c:v>1271.8</c:v>
                </c:pt>
                <c:pt idx="31">
                  <c:v>749.7</c:v>
                </c:pt>
                <c:pt idx="32">
                  <c:v>692.8</c:v>
                </c:pt>
                <c:pt idx="33">
                  <c:v>915</c:v>
                </c:pt>
                <c:pt idx="34">
                  <c:v>870.4</c:v>
                </c:pt>
                <c:pt idx="35">
                  <c:v>643.29999999999995</c:v>
                </c:pt>
                <c:pt idx="36">
                  <c:v>889.8</c:v>
                </c:pt>
                <c:pt idx="37">
                  <c:v>855.9</c:v>
                </c:pt>
                <c:pt idx="38">
                  <c:v>980.4</c:v>
                </c:pt>
                <c:pt idx="39">
                  <c:v>760.8</c:v>
                </c:pt>
                <c:pt idx="40">
                  <c:v>741.5</c:v>
                </c:pt>
                <c:pt idx="41">
                  <c:v>625.9</c:v>
                </c:pt>
                <c:pt idx="42">
                  <c:v>947</c:v>
                </c:pt>
                <c:pt idx="43">
                  <c:v>866.7</c:v>
                </c:pt>
                <c:pt idx="44">
                  <c:v>1370.8</c:v>
                </c:pt>
                <c:pt idx="45">
                  <c:v>1127.4000000000001</c:v>
                </c:pt>
                <c:pt idx="46">
                  <c:v>1061.4000000000001</c:v>
                </c:pt>
                <c:pt idx="47">
                  <c:v>777.6</c:v>
                </c:pt>
                <c:pt idx="48">
                  <c:v>1175.3</c:v>
                </c:pt>
                <c:pt idx="49">
                  <c:v>1379.3</c:v>
                </c:pt>
                <c:pt idx="50">
                  <c:v>1216.2</c:v>
                </c:pt>
                <c:pt idx="51">
                  <c:v>1300.2</c:v>
                </c:pt>
                <c:pt idx="52">
                  <c:v>1092.5999999999999</c:v>
                </c:pt>
                <c:pt idx="53">
                  <c:v>1028.0999999999999</c:v>
                </c:pt>
                <c:pt idx="54">
                  <c:v>883.2</c:v>
                </c:pt>
                <c:pt idx="55">
                  <c:v>1361.6</c:v>
                </c:pt>
                <c:pt idx="56">
                  <c:v>1568.9</c:v>
                </c:pt>
                <c:pt idx="57">
                  <c:v>890.2</c:v>
                </c:pt>
                <c:pt idx="58">
                  <c:v>1364.9</c:v>
                </c:pt>
                <c:pt idx="59">
                  <c:v>1323.5</c:v>
                </c:pt>
                <c:pt idx="60">
                  <c:v>1378.4</c:v>
                </c:pt>
                <c:pt idx="61">
                  <c:v>1193.0999999999999</c:v>
                </c:pt>
                <c:pt idx="62">
                  <c:v>1501.6</c:v>
                </c:pt>
                <c:pt idx="63">
                  <c:v>1969.6</c:v>
                </c:pt>
                <c:pt idx="64">
                  <c:v>1735</c:v>
                </c:pt>
                <c:pt idx="65">
                  <c:v>1379.1</c:v>
                </c:pt>
                <c:pt idx="66">
                  <c:v>1577.1</c:v>
                </c:pt>
                <c:pt idx="67">
                  <c:v>2181.9</c:v>
                </c:pt>
                <c:pt idx="68">
                  <c:v>2018.2</c:v>
                </c:pt>
              </c:numCache>
            </c:numRef>
          </c:yVal>
        </c:ser>
        <c:ser>
          <c:idx val="29"/>
          <c:order val="29"/>
          <c:tx>
            <c:v>o 2004</c:v>
          </c:tx>
          <c:spPr>
            <a:ln w="28575">
              <a:noFill/>
            </a:ln>
          </c:spPr>
          <c:marker>
            <c:symbol val="circle"/>
            <c:size val="6"/>
            <c:spPr>
              <a:noFill/>
              <a:ln>
                <a:solidFill>
                  <a:srgbClr val="FF0000"/>
                </a:solidFill>
                <a:prstDash val="solid"/>
              </a:ln>
            </c:spPr>
          </c:marker>
          <c:xVal>
            <c:numRef>
              <c:f>Sheet2!$AT$60:$AT$128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Sheet2!$V$60:$V$128</c:f>
              <c:numCache>
                <c:formatCode>General</c:formatCode>
                <c:ptCount val="69"/>
                <c:pt idx="0">
                  <c:v>203.3</c:v>
                </c:pt>
                <c:pt idx="1">
                  <c:v>226.7</c:v>
                </c:pt>
                <c:pt idx="2">
                  <c:v>263.8</c:v>
                </c:pt>
                <c:pt idx="3">
                  <c:v>276.5</c:v>
                </c:pt>
                <c:pt idx="4">
                  <c:v>329.2</c:v>
                </c:pt>
                <c:pt idx="5">
                  <c:v>371.8</c:v>
                </c:pt>
                <c:pt idx="6">
                  <c:v>545.9</c:v>
                </c:pt>
                <c:pt idx="7">
                  <c:v>455.1</c:v>
                </c:pt>
                <c:pt idx="8">
                  <c:v>466.9</c:v>
                </c:pt>
                <c:pt idx="9">
                  <c:v>561.79999999999995</c:v>
                </c:pt>
                <c:pt idx="10">
                  <c:v>528.70000000000005</c:v>
                </c:pt>
                <c:pt idx="11">
                  <c:v>431.2</c:v>
                </c:pt>
                <c:pt idx="12">
                  <c:v>525.1</c:v>
                </c:pt>
                <c:pt idx="13">
                  <c:v>592.20000000000005</c:v>
                </c:pt>
                <c:pt idx="14">
                  <c:v>635.20000000000005</c:v>
                </c:pt>
                <c:pt idx="15">
                  <c:v>580.1</c:v>
                </c:pt>
                <c:pt idx="16">
                  <c:v>536.29999999999995</c:v>
                </c:pt>
                <c:pt idx="17">
                  <c:v>642.20000000000005</c:v>
                </c:pt>
                <c:pt idx="18">
                  <c:v>586.70000000000005</c:v>
                </c:pt>
                <c:pt idx="19">
                  <c:v>687.4</c:v>
                </c:pt>
                <c:pt idx="20">
                  <c:v>710.5</c:v>
                </c:pt>
                <c:pt idx="21">
                  <c:v>796.5</c:v>
                </c:pt>
                <c:pt idx="22">
                  <c:v>659.6</c:v>
                </c:pt>
                <c:pt idx="23">
                  <c:v>624</c:v>
                </c:pt>
                <c:pt idx="24">
                  <c:v>765.6</c:v>
                </c:pt>
                <c:pt idx="25">
                  <c:v>486.2</c:v>
                </c:pt>
                <c:pt idx="26">
                  <c:v>636</c:v>
                </c:pt>
                <c:pt idx="27">
                  <c:v>525.1</c:v>
                </c:pt>
                <c:pt idx="28">
                  <c:v>741.8</c:v>
                </c:pt>
                <c:pt idx="29">
                  <c:v>524.4</c:v>
                </c:pt>
                <c:pt idx="30">
                  <c:v>1107.3</c:v>
                </c:pt>
                <c:pt idx="31">
                  <c:v>780.8</c:v>
                </c:pt>
                <c:pt idx="32">
                  <c:v>662.4</c:v>
                </c:pt>
                <c:pt idx="33">
                  <c:v>932.7</c:v>
                </c:pt>
                <c:pt idx="34">
                  <c:v>703.1</c:v>
                </c:pt>
                <c:pt idx="35">
                  <c:v>790.6</c:v>
                </c:pt>
                <c:pt idx="36">
                  <c:v>822.9</c:v>
                </c:pt>
                <c:pt idx="37">
                  <c:v>813.7</c:v>
                </c:pt>
                <c:pt idx="38">
                  <c:v>1024.5</c:v>
                </c:pt>
                <c:pt idx="39">
                  <c:v>851.8</c:v>
                </c:pt>
                <c:pt idx="40">
                  <c:v>757.1</c:v>
                </c:pt>
                <c:pt idx="41">
                  <c:v>810.5</c:v>
                </c:pt>
                <c:pt idx="42">
                  <c:v>985.2</c:v>
                </c:pt>
                <c:pt idx="43">
                  <c:v>825.9</c:v>
                </c:pt>
                <c:pt idx="44">
                  <c:v>1315.7</c:v>
                </c:pt>
                <c:pt idx="45">
                  <c:v>1153.4000000000001</c:v>
                </c:pt>
                <c:pt idx="46">
                  <c:v>1118.7</c:v>
                </c:pt>
                <c:pt idx="47">
                  <c:v>1050</c:v>
                </c:pt>
                <c:pt idx="48">
                  <c:v>1146.4000000000001</c:v>
                </c:pt>
                <c:pt idx="49">
                  <c:v>1443.8</c:v>
                </c:pt>
                <c:pt idx="50">
                  <c:v>1192.4000000000001</c:v>
                </c:pt>
                <c:pt idx="51">
                  <c:v>1217.8</c:v>
                </c:pt>
                <c:pt idx="52">
                  <c:v>1204.7</c:v>
                </c:pt>
                <c:pt idx="53">
                  <c:v>1055.2</c:v>
                </c:pt>
                <c:pt idx="54">
                  <c:v>882.7</c:v>
                </c:pt>
                <c:pt idx="55">
                  <c:v>1332.1</c:v>
                </c:pt>
                <c:pt idx="56">
                  <c:v>1325.3</c:v>
                </c:pt>
                <c:pt idx="57">
                  <c:v>784.8</c:v>
                </c:pt>
                <c:pt idx="58">
                  <c:v>1347.4</c:v>
                </c:pt>
                <c:pt idx="59">
                  <c:v>1299.5</c:v>
                </c:pt>
                <c:pt idx="60">
                  <c:v>1408.3</c:v>
                </c:pt>
                <c:pt idx="61">
                  <c:v>1256.0999999999999</c:v>
                </c:pt>
                <c:pt idx="62">
                  <c:v>1551.9</c:v>
                </c:pt>
                <c:pt idx="63">
                  <c:v>1841.8</c:v>
                </c:pt>
                <c:pt idx="64">
                  <c:v>1839.4</c:v>
                </c:pt>
                <c:pt idx="65">
                  <c:v>1276.8</c:v>
                </c:pt>
                <c:pt idx="66">
                  <c:v>1546.8</c:v>
                </c:pt>
                <c:pt idx="67">
                  <c:v>2075.8000000000002</c:v>
                </c:pt>
                <c:pt idx="68">
                  <c:v>1740.4</c:v>
                </c:pt>
              </c:numCache>
            </c:numRef>
          </c:yVal>
        </c:ser>
        <c:ser>
          <c:idx val="30"/>
          <c:order val="30"/>
          <c:tx>
            <c:v>o 2005</c:v>
          </c:tx>
          <c:spPr>
            <a:ln w="28575">
              <a:noFill/>
            </a:ln>
          </c:spPr>
          <c:marker>
            <c:symbol val="circle"/>
            <c:size val="6"/>
            <c:spPr>
              <a:noFill/>
              <a:ln>
                <a:solidFill>
                  <a:srgbClr val="FF0000"/>
                </a:solidFill>
                <a:prstDash val="solid"/>
              </a:ln>
            </c:spPr>
          </c:marker>
          <c:xVal>
            <c:numRef>
              <c:f>Sheet2!$AU$60:$AU$128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Sheet2!$W$60:$W$128</c:f>
              <c:numCache>
                <c:formatCode>General</c:formatCode>
                <c:ptCount val="69"/>
                <c:pt idx="0">
                  <c:v>185.8</c:v>
                </c:pt>
                <c:pt idx="1">
                  <c:v>254.9</c:v>
                </c:pt>
                <c:pt idx="2">
                  <c:v>292.60000000000002</c:v>
                </c:pt>
                <c:pt idx="3">
                  <c:v>282.89999999999969</c:v>
                </c:pt>
                <c:pt idx="4">
                  <c:v>356.6</c:v>
                </c:pt>
                <c:pt idx="5">
                  <c:v>383.5</c:v>
                </c:pt>
                <c:pt idx="6">
                  <c:v>435.5</c:v>
                </c:pt>
                <c:pt idx="7">
                  <c:v>481</c:v>
                </c:pt>
                <c:pt idx="8">
                  <c:v>466.4</c:v>
                </c:pt>
                <c:pt idx="9">
                  <c:v>504</c:v>
                </c:pt>
                <c:pt idx="10">
                  <c:v>519</c:v>
                </c:pt>
                <c:pt idx="11">
                  <c:v>478.5</c:v>
                </c:pt>
                <c:pt idx="12">
                  <c:v>489.6</c:v>
                </c:pt>
                <c:pt idx="13">
                  <c:v>620.20000000000005</c:v>
                </c:pt>
                <c:pt idx="14">
                  <c:v>637.20000000000005</c:v>
                </c:pt>
                <c:pt idx="15">
                  <c:v>617.6</c:v>
                </c:pt>
                <c:pt idx="16">
                  <c:v>534.79999999999995</c:v>
                </c:pt>
                <c:pt idx="17">
                  <c:v>564.6</c:v>
                </c:pt>
                <c:pt idx="18">
                  <c:v>578.4</c:v>
                </c:pt>
                <c:pt idx="19">
                  <c:v>673.1</c:v>
                </c:pt>
                <c:pt idx="20">
                  <c:v>596.9</c:v>
                </c:pt>
                <c:pt idx="21">
                  <c:v>795.9</c:v>
                </c:pt>
                <c:pt idx="22">
                  <c:v>709.4</c:v>
                </c:pt>
                <c:pt idx="23">
                  <c:v>673.1</c:v>
                </c:pt>
                <c:pt idx="24">
                  <c:v>845.8</c:v>
                </c:pt>
                <c:pt idx="25">
                  <c:v>550.5</c:v>
                </c:pt>
                <c:pt idx="26">
                  <c:v>639.20000000000005</c:v>
                </c:pt>
                <c:pt idx="27">
                  <c:v>624.6</c:v>
                </c:pt>
                <c:pt idx="28">
                  <c:v>713.9</c:v>
                </c:pt>
                <c:pt idx="29">
                  <c:v>648.4</c:v>
                </c:pt>
                <c:pt idx="30">
                  <c:v>820.6</c:v>
                </c:pt>
                <c:pt idx="31">
                  <c:v>708.5</c:v>
                </c:pt>
                <c:pt idx="32">
                  <c:v>729.1</c:v>
                </c:pt>
                <c:pt idx="33">
                  <c:v>953.4</c:v>
                </c:pt>
                <c:pt idx="34">
                  <c:v>716.5</c:v>
                </c:pt>
                <c:pt idx="35">
                  <c:v>735.6</c:v>
                </c:pt>
                <c:pt idx="36">
                  <c:v>853.5</c:v>
                </c:pt>
                <c:pt idx="37">
                  <c:v>849.3</c:v>
                </c:pt>
                <c:pt idx="38">
                  <c:v>1003.7</c:v>
                </c:pt>
                <c:pt idx="39">
                  <c:v>876.6</c:v>
                </c:pt>
                <c:pt idx="40">
                  <c:v>798.9</c:v>
                </c:pt>
                <c:pt idx="41">
                  <c:v>740.8</c:v>
                </c:pt>
                <c:pt idx="42">
                  <c:v>951.8</c:v>
                </c:pt>
                <c:pt idx="43">
                  <c:v>829.9</c:v>
                </c:pt>
                <c:pt idx="44">
                  <c:v>1254.0999999999999</c:v>
                </c:pt>
                <c:pt idx="45">
                  <c:v>1187.4000000000001</c:v>
                </c:pt>
                <c:pt idx="46">
                  <c:v>1023.3</c:v>
                </c:pt>
                <c:pt idx="47">
                  <c:v>1151.2</c:v>
                </c:pt>
                <c:pt idx="48">
                  <c:v>1172.5</c:v>
                </c:pt>
                <c:pt idx="49">
                  <c:v>1459.2</c:v>
                </c:pt>
                <c:pt idx="50">
                  <c:v>1317.7</c:v>
                </c:pt>
                <c:pt idx="51">
                  <c:v>1195.5999999999999</c:v>
                </c:pt>
                <c:pt idx="52">
                  <c:v>1292.7</c:v>
                </c:pt>
                <c:pt idx="53">
                  <c:v>1220.9000000000001</c:v>
                </c:pt>
                <c:pt idx="54">
                  <c:v>993.1</c:v>
                </c:pt>
                <c:pt idx="55">
                  <c:v>1390.2</c:v>
                </c:pt>
                <c:pt idx="56">
                  <c:v>1401.6</c:v>
                </c:pt>
                <c:pt idx="57">
                  <c:v>1027.5999999999999</c:v>
                </c:pt>
                <c:pt idx="58">
                  <c:v>1491.4</c:v>
                </c:pt>
                <c:pt idx="59">
                  <c:v>1400.6</c:v>
                </c:pt>
                <c:pt idx="60">
                  <c:v>1467.1</c:v>
                </c:pt>
                <c:pt idx="61">
                  <c:v>1702.2</c:v>
                </c:pt>
                <c:pt idx="62">
                  <c:v>1611</c:v>
                </c:pt>
                <c:pt idx="63">
                  <c:v>1674.8</c:v>
                </c:pt>
                <c:pt idx="64">
                  <c:v>1754.5</c:v>
                </c:pt>
                <c:pt idx="65">
                  <c:v>1420.8</c:v>
                </c:pt>
                <c:pt idx="66">
                  <c:v>1861.2</c:v>
                </c:pt>
                <c:pt idx="67">
                  <c:v>2405.5</c:v>
                </c:pt>
                <c:pt idx="68">
                  <c:v>2358.1999999999998</c:v>
                </c:pt>
              </c:numCache>
            </c:numRef>
          </c:yVal>
        </c:ser>
        <c:ser>
          <c:idx val="31"/>
          <c:order val="31"/>
          <c:tx>
            <c:v>o 2006</c:v>
          </c:tx>
          <c:spPr>
            <a:ln w="28575">
              <a:noFill/>
            </a:ln>
          </c:spPr>
          <c:marker>
            <c:symbol val="circle"/>
            <c:size val="6"/>
            <c:spPr>
              <a:noFill/>
              <a:ln>
                <a:solidFill>
                  <a:srgbClr val="FF0000"/>
                </a:solidFill>
                <a:prstDash val="solid"/>
              </a:ln>
            </c:spPr>
          </c:marker>
          <c:xVal>
            <c:numRef>
              <c:f>Sheet2!$AV$60:$AV$128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Sheet2!$X$60:$X$128</c:f>
              <c:numCache>
                <c:formatCode>General</c:formatCode>
                <c:ptCount val="69"/>
                <c:pt idx="0">
                  <c:v>245.1</c:v>
                </c:pt>
                <c:pt idx="1">
                  <c:v>282.5</c:v>
                </c:pt>
                <c:pt idx="2">
                  <c:v>287.7</c:v>
                </c:pt>
                <c:pt idx="3">
                  <c:v>300.8</c:v>
                </c:pt>
                <c:pt idx="4">
                  <c:v>393.2</c:v>
                </c:pt>
                <c:pt idx="5">
                  <c:v>386.8</c:v>
                </c:pt>
                <c:pt idx="6">
                  <c:v>393.5</c:v>
                </c:pt>
                <c:pt idx="7">
                  <c:v>455.2</c:v>
                </c:pt>
                <c:pt idx="8">
                  <c:v>466.5</c:v>
                </c:pt>
                <c:pt idx="9">
                  <c:v>453.3</c:v>
                </c:pt>
                <c:pt idx="10">
                  <c:v>504.5</c:v>
                </c:pt>
                <c:pt idx="11">
                  <c:v>569.29999999999995</c:v>
                </c:pt>
                <c:pt idx="12">
                  <c:v>515.29999999999995</c:v>
                </c:pt>
                <c:pt idx="13">
                  <c:v>613.5</c:v>
                </c:pt>
                <c:pt idx="14">
                  <c:v>617.4</c:v>
                </c:pt>
                <c:pt idx="15">
                  <c:v>638.20000000000005</c:v>
                </c:pt>
                <c:pt idx="16">
                  <c:v>581.79999999999995</c:v>
                </c:pt>
                <c:pt idx="17">
                  <c:v>601.1</c:v>
                </c:pt>
                <c:pt idx="18">
                  <c:v>619.1</c:v>
                </c:pt>
                <c:pt idx="19">
                  <c:v>637.9</c:v>
                </c:pt>
                <c:pt idx="20">
                  <c:v>528.20000000000005</c:v>
                </c:pt>
                <c:pt idx="21">
                  <c:v>760.6</c:v>
                </c:pt>
                <c:pt idx="22">
                  <c:v>711.2</c:v>
                </c:pt>
                <c:pt idx="23">
                  <c:v>688.1</c:v>
                </c:pt>
                <c:pt idx="24">
                  <c:v>757.4</c:v>
                </c:pt>
                <c:pt idx="25">
                  <c:v>633.70000000000005</c:v>
                </c:pt>
                <c:pt idx="26">
                  <c:v>656.3</c:v>
                </c:pt>
                <c:pt idx="27">
                  <c:v>612.79999999999995</c:v>
                </c:pt>
                <c:pt idx="28">
                  <c:v>714.2</c:v>
                </c:pt>
                <c:pt idx="29">
                  <c:v>731.2</c:v>
                </c:pt>
                <c:pt idx="30">
                  <c:v>786.9</c:v>
                </c:pt>
                <c:pt idx="31">
                  <c:v>715.1</c:v>
                </c:pt>
                <c:pt idx="32">
                  <c:v>737.8</c:v>
                </c:pt>
                <c:pt idx="33">
                  <c:v>855.7</c:v>
                </c:pt>
                <c:pt idx="34">
                  <c:v>710.1</c:v>
                </c:pt>
                <c:pt idx="35">
                  <c:v>933.4</c:v>
                </c:pt>
                <c:pt idx="36">
                  <c:v>802.4</c:v>
                </c:pt>
                <c:pt idx="37">
                  <c:v>811.2</c:v>
                </c:pt>
                <c:pt idx="38">
                  <c:v>1010.8</c:v>
                </c:pt>
                <c:pt idx="39">
                  <c:v>819.2</c:v>
                </c:pt>
                <c:pt idx="40">
                  <c:v>875.6</c:v>
                </c:pt>
                <c:pt idx="41">
                  <c:v>929.6</c:v>
                </c:pt>
                <c:pt idx="42">
                  <c:v>908.3</c:v>
                </c:pt>
                <c:pt idx="43">
                  <c:v>837.2</c:v>
                </c:pt>
                <c:pt idx="44">
                  <c:v>1206.4000000000001</c:v>
                </c:pt>
                <c:pt idx="45">
                  <c:v>1220.9000000000001</c:v>
                </c:pt>
                <c:pt idx="46">
                  <c:v>1069.9000000000001</c:v>
                </c:pt>
                <c:pt idx="47">
                  <c:v>1206.4000000000001</c:v>
                </c:pt>
                <c:pt idx="48">
                  <c:v>1169.4000000000001</c:v>
                </c:pt>
                <c:pt idx="49">
                  <c:v>1443.7</c:v>
                </c:pt>
                <c:pt idx="50">
                  <c:v>1339.5</c:v>
                </c:pt>
                <c:pt idx="51">
                  <c:v>1181.9000000000001</c:v>
                </c:pt>
                <c:pt idx="52">
                  <c:v>1248.2</c:v>
                </c:pt>
                <c:pt idx="53">
                  <c:v>1147.3</c:v>
                </c:pt>
                <c:pt idx="54">
                  <c:v>960</c:v>
                </c:pt>
                <c:pt idx="55">
                  <c:v>1410.7</c:v>
                </c:pt>
                <c:pt idx="56">
                  <c:v>1445.8</c:v>
                </c:pt>
                <c:pt idx="57">
                  <c:v>1324.9</c:v>
                </c:pt>
                <c:pt idx="58">
                  <c:v>1481.1</c:v>
                </c:pt>
                <c:pt idx="59">
                  <c:v>1550.9</c:v>
                </c:pt>
                <c:pt idx="60">
                  <c:v>1562.4</c:v>
                </c:pt>
                <c:pt idx="61">
                  <c:v>1577.7</c:v>
                </c:pt>
                <c:pt idx="62">
                  <c:v>1527.2</c:v>
                </c:pt>
                <c:pt idx="63">
                  <c:v>1553.7</c:v>
                </c:pt>
                <c:pt idx="64">
                  <c:v>1696.5</c:v>
                </c:pt>
                <c:pt idx="65">
                  <c:v>1905.3</c:v>
                </c:pt>
                <c:pt idx="66">
                  <c:v>1991</c:v>
                </c:pt>
                <c:pt idx="67">
                  <c:v>2480.6999999999998</c:v>
                </c:pt>
                <c:pt idx="68">
                  <c:v>2419.1999999999998</c:v>
                </c:pt>
              </c:numCache>
            </c:numRef>
          </c:yVal>
        </c:ser>
        <c:ser>
          <c:idx val="32"/>
          <c:order val="32"/>
          <c:tx>
            <c:v>o 2007</c:v>
          </c:tx>
          <c:spPr>
            <a:ln w="28575">
              <a:noFill/>
            </a:ln>
          </c:spPr>
          <c:marker>
            <c:symbol val="circle"/>
            <c:size val="6"/>
            <c:spPr>
              <a:noFill/>
              <a:ln>
                <a:solidFill>
                  <a:srgbClr val="FF0000"/>
                </a:solidFill>
                <a:prstDash val="solid"/>
              </a:ln>
            </c:spPr>
          </c:marker>
          <c:xVal>
            <c:numRef>
              <c:f>Sheet2!$AW$60:$AW$128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Sheet2!$Y$60:$Y$128</c:f>
              <c:numCache>
                <c:formatCode>General</c:formatCode>
                <c:ptCount val="69"/>
                <c:pt idx="0">
                  <c:v>235.2</c:v>
                </c:pt>
                <c:pt idx="1">
                  <c:v>249.8</c:v>
                </c:pt>
                <c:pt idx="2">
                  <c:v>260.2</c:v>
                </c:pt>
                <c:pt idx="3">
                  <c:v>288.39999999999969</c:v>
                </c:pt>
                <c:pt idx="4">
                  <c:v>328.1</c:v>
                </c:pt>
                <c:pt idx="5">
                  <c:v>402.2</c:v>
                </c:pt>
                <c:pt idx="6">
                  <c:v>417.8</c:v>
                </c:pt>
                <c:pt idx="7">
                  <c:v>424.6</c:v>
                </c:pt>
                <c:pt idx="8">
                  <c:v>450.7</c:v>
                </c:pt>
                <c:pt idx="9">
                  <c:v>489.2</c:v>
                </c:pt>
                <c:pt idx="10">
                  <c:v>502.1</c:v>
                </c:pt>
                <c:pt idx="11">
                  <c:v>530.6</c:v>
                </c:pt>
                <c:pt idx="12">
                  <c:v>540</c:v>
                </c:pt>
                <c:pt idx="13">
                  <c:v>548.4</c:v>
                </c:pt>
                <c:pt idx="14">
                  <c:v>556.4</c:v>
                </c:pt>
                <c:pt idx="15">
                  <c:v>571.5</c:v>
                </c:pt>
                <c:pt idx="16">
                  <c:v>572.29999999999995</c:v>
                </c:pt>
                <c:pt idx="17">
                  <c:v>597</c:v>
                </c:pt>
                <c:pt idx="18">
                  <c:v>602.1</c:v>
                </c:pt>
                <c:pt idx="19">
                  <c:v>613.79999999999995</c:v>
                </c:pt>
                <c:pt idx="20">
                  <c:v>615.20000000000005</c:v>
                </c:pt>
                <c:pt idx="21">
                  <c:v>619.5</c:v>
                </c:pt>
                <c:pt idx="22">
                  <c:v>626.70000000000005</c:v>
                </c:pt>
                <c:pt idx="23">
                  <c:v>632.5</c:v>
                </c:pt>
                <c:pt idx="24">
                  <c:v>644.5</c:v>
                </c:pt>
                <c:pt idx="25">
                  <c:v>656.1</c:v>
                </c:pt>
                <c:pt idx="26">
                  <c:v>667.1</c:v>
                </c:pt>
                <c:pt idx="27">
                  <c:v>679.1</c:v>
                </c:pt>
                <c:pt idx="28">
                  <c:v>687.7</c:v>
                </c:pt>
                <c:pt idx="29">
                  <c:v>695.6</c:v>
                </c:pt>
                <c:pt idx="30">
                  <c:v>718.4</c:v>
                </c:pt>
                <c:pt idx="31">
                  <c:v>722.8</c:v>
                </c:pt>
                <c:pt idx="32">
                  <c:v>723.8</c:v>
                </c:pt>
                <c:pt idx="33">
                  <c:v>784.1</c:v>
                </c:pt>
                <c:pt idx="34">
                  <c:v>826.4</c:v>
                </c:pt>
                <c:pt idx="35">
                  <c:v>846.4</c:v>
                </c:pt>
                <c:pt idx="36">
                  <c:v>850.6</c:v>
                </c:pt>
                <c:pt idx="37">
                  <c:v>851.8</c:v>
                </c:pt>
                <c:pt idx="38">
                  <c:v>852.7</c:v>
                </c:pt>
                <c:pt idx="39">
                  <c:v>856.6</c:v>
                </c:pt>
                <c:pt idx="40">
                  <c:v>874.1</c:v>
                </c:pt>
                <c:pt idx="41">
                  <c:v>945</c:v>
                </c:pt>
                <c:pt idx="42">
                  <c:v>990</c:v>
                </c:pt>
                <c:pt idx="43">
                  <c:v>1021.6</c:v>
                </c:pt>
                <c:pt idx="44">
                  <c:v>1069.2</c:v>
                </c:pt>
                <c:pt idx="45">
                  <c:v>1079.5</c:v>
                </c:pt>
                <c:pt idx="46">
                  <c:v>1106.7</c:v>
                </c:pt>
                <c:pt idx="47">
                  <c:v>1113.5</c:v>
                </c:pt>
                <c:pt idx="48">
                  <c:v>1132.2</c:v>
                </c:pt>
                <c:pt idx="49">
                  <c:v>1143.8</c:v>
                </c:pt>
                <c:pt idx="50">
                  <c:v>1155.2</c:v>
                </c:pt>
                <c:pt idx="51">
                  <c:v>1178.7</c:v>
                </c:pt>
                <c:pt idx="52">
                  <c:v>1193.3</c:v>
                </c:pt>
                <c:pt idx="53">
                  <c:v>1227.7</c:v>
                </c:pt>
                <c:pt idx="54">
                  <c:v>1234.3</c:v>
                </c:pt>
                <c:pt idx="55">
                  <c:v>1274.5</c:v>
                </c:pt>
                <c:pt idx="56">
                  <c:v>1347</c:v>
                </c:pt>
                <c:pt idx="57">
                  <c:v>1403.3</c:v>
                </c:pt>
                <c:pt idx="58">
                  <c:v>1418.7</c:v>
                </c:pt>
                <c:pt idx="59">
                  <c:v>1464.9</c:v>
                </c:pt>
                <c:pt idx="60">
                  <c:v>1475.4</c:v>
                </c:pt>
                <c:pt idx="61">
                  <c:v>1503.1</c:v>
                </c:pt>
                <c:pt idx="62">
                  <c:v>1508.9</c:v>
                </c:pt>
                <c:pt idx="63">
                  <c:v>1623.8</c:v>
                </c:pt>
                <c:pt idx="64">
                  <c:v>1631.1</c:v>
                </c:pt>
                <c:pt idx="65">
                  <c:v>1917.8</c:v>
                </c:pt>
                <c:pt idx="66">
                  <c:v>1950.7</c:v>
                </c:pt>
                <c:pt idx="67">
                  <c:v>2198.1999999999998</c:v>
                </c:pt>
                <c:pt idx="68">
                  <c:v>2289</c:v>
                </c:pt>
              </c:numCache>
            </c:numRef>
          </c:yVal>
        </c:ser>
        <c:ser>
          <c:idx val="33"/>
          <c:order val="33"/>
          <c:tx>
            <c:v>o 1985</c:v>
          </c:tx>
          <c:spPr>
            <a:ln w="28575">
              <a:noFill/>
            </a:ln>
          </c:spPr>
          <c:marker>
            <c:symbol val="star"/>
            <c:size val="6"/>
            <c:spPr>
              <a:noFill/>
              <a:ln>
                <a:solidFill>
                  <a:srgbClr val="FF0000"/>
                </a:solidFill>
                <a:prstDash val="solid"/>
              </a:ln>
            </c:spPr>
          </c:marker>
          <c:xVal>
            <c:numRef>
              <c:f>Sheet2!$AY$60:$AY$128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1</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c:v>
                </c:pt>
                <c:pt idx="64">
                  <c:v>#N/A</c:v>
                </c:pt>
                <c:pt idx="65">
                  <c:v>#N/A</c:v>
                </c:pt>
                <c:pt idx="66">
                  <c:v>#N/A</c:v>
                </c:pt>
                <c:pt idx="67">
                  <c:v>#N/A</c:v>
                </c:pt>
                <c:pt idx="68">
                  <c:v>1</c:v>
                </c:pt>
              </c:numCache>
            </c:numRef>
          </c:xVal>
          <c:yVal>
            <c:numRef>
              <c:f>Sheet2!$C$60:$C$128</c:f>
              <c:numCache>
                <c:formatCode>General</c:formatCode>
                <c:ptCount val="69"/>
                <c:pt idx="0">
                  <c:v>279.7</c:v>
                </c:pt>
                <c:pt idx="1">
                  <c:v>176</c:v>
                </c:pt>
                <c:pt idx="2">
                  <c:v>167.4</c:v>
                </c:pt>
                <c:pt idx="3">
                  <c:v>220.4</c:v>
                </c:pt>
                <c:pt idx="4">
                  <c:v>514.29999999999995</c:v>
                </c:pt>
                <c:pt idx="5">
                  <c:v>491.5</c:v>
                </c:pt>
                <c:pt idx="6">
                  <c:v>771.2</c:v>
                </c:pt>
                <c:pt idx="7">
                  <c:v>483.6</c:v>
                </c:pt>
                <c:pt idx="8">
                  <c:v>1054.2</c:v>
                </c:pt>
                <c:pt idx="9">
                  <c:v>553.70000000000005</c:v>
                </c:pt>
                <c:pt idx="10">
                  <c:v>632.4</c:v>
                </c:pt>
                <c:pt idx="11">
                  <c:v>464.1</c:v>
                </c:pt>
                <c:pt idx="12">
                  <c:v>581.29999999999995</c:v>
                </c:pt>
                <c:pt idx="13">
                  <c:v>1136.2</c:v>
                </c:pt>
                <c:pt idx="14">
                  <c:v>625</c:v>
                </c:pt>
                <c:pt idx="15">
                  <c:v>602.4</c:v>
                </c:pt>
                <c:pt idx="16">
                  <c:v>671.7</c:v>
                </c:pt>
                <c:pt idx="17">
                  <c:v>688.4</c:v>
                </c:pt>
                <c:pt idx="18">
                  <c:v>677.9</c:v>
                </c:pt>
                <c:pt idx="19">
                  <c:v>1881.3</c:v>
                </c:pt>
                <c:pt idx="20">
                  <c:v>897.1</c:v>
                </c:pt>
                <c:pt idx="21">
                  <c:v>828.8</c:v>
                </c:pt>
                <c:pt idx="22">
                  <c:v>1317.3</c:v>
                </c:pt>
                <c:pt idx="23">
                  <c:v>997.2</c:v>
                </c:pt>
                <c:pt idx="24">
                  <c:v>840</c:v>
                </c:pt>
                <c:pt idx="25">
                  <c:v>532.9</c:v>
                </c:pt>
                <c:pt idx="26">
                  <c:v>1496.5</c:v>
                </c:pt>
                <c:pt idx="27">
                  <c:v>670.5</c:v>
                </c:pt>
                <c:pt idx="28">
                  <c:v>2348.9</c:v>
                </c:pt>
                <c:pt idx="29">
                  <c:v>507</c:v>
                </c:pt>
                <c:pt idx="30">
                  <c:v>1658</c:v>
                </c:pt>
                <c:pt idx="31">
                  <c:v>1060.7</c:v>
                </c:pt>
                <c:pt idx="32">
                  <c:v>844.3</c:v>
                </c:pt>
                <c:pt idx="33">
                  <c:v>973.3</c:v>
                </c:pt>
                <c:pt idx="34">
                  <c:v>352.7</c:v>
                </c:pt>
                <c:pt idx="35">
                  <c:v>515.70000000000005</c:v>
                </c:pt>
                <c:pt idx="36">
                  <c:v>975.7</c:v>
                </c:pt>
                <c:pt idx="37">
                  <c:v>776.4</c:v>
                </c:pt>
                <c:pt idx="38">
                  <c:v>3077.5</c:v>
                </c:pt>
                <c:pt idx="39">
                  <c:v>782</c:v>
                </c:pt>
                <c:pt idx="40">
                  <c:v>1295.5</c:v>
                </c:pt>
                <c:pt idx="41">
                  <c:v>586.79999999999995</c:v>
                </c:pt>
                <c:pt idx="42">
                  <c:v>1149.7</c:v>
                </c:pt>
                <c:pt idx="43">
                  <c:v>1214.8</c:v>
                </c:pt>
                <c:pt idx="44">
                  <c:v>1440</c:v>
                </c:pt>
                <c:pt idx="45">
                  <c:v>884.7</c:v>
                </c:pt>
                <c:pt idx="46">
                  <c:v>1085.5999999999999</c:v>
                </c:pt>
                <c:pt idx="47">
                  <c:v>1176.2</c:v>
                </c:pt>
                <c:pt idx="48">
                  <c:v>942.6</c:v>
                </c:pt>
                <c:pt idx="49">
                  <c:v>1800.7</c:v>
                </c:pt>
                <c:pt idx="50">
                  <c:v>2074</c:v>
                </c:pt>
                <c:pt idx="51">
                  <c:v>1949</c:v>
                </c:pt>
                <c:pt idx="52">
                  <c:v>774.1</c:v>
                </c:pt>
                <c:pt idx="53">
                  <c:v>628.20000000000005</c:v>
                </c:pt>
                <c:pt idx="54">
                  <c:v>980</c:v>
                </c:pt>
                <c:pt idx="55">
                  <c:v>1003.6</c:v>
                </c:pt>
                <c:pt idx="56">
                  <c:v>1624.8</c:v>
                </c:pt>
                <c:pt idx="57">
                  <c:v>652.20000000000005</c:v>
                </c:pt>
                <c:pt idx="58">
                  <c:v>883.8</c:v>
                </c:pt>
                <c:pt idx="59">
                  <c:v>1204.9000000000001</c:v>
                </c:pt>
                <c:pt idx="60">
                  <c:v>988.3</c:v>
                </c:pt>
                <c:pt idx="61">
                  <c:v>1422.4</c:v>
                </c:pt>
                <c:pt idx="62">
                  <c:v>701.5</c:v>
                </c:pt>
                <c:pt idx="63">
                  <c:v>2661.5</c:v>
                </c:pt>
                <c:pt idx="64">
                  <c:v>2009.9</c:v>
                </c:pt>
                <c:pt idx="65">
                  <c:v>1851.2</c:v>
                </c:pt>
                <c:pt idx="66">
                  <c:v>1487.6</c:v>
                </c:pt>
                <c:pt idx="67">
                  <c:v>2004.6</c:v>
                </c:pt>
                <c:pt idx="68">
                  <c:v>2375.1999999999998</c:v>
                </c:pt>
              </c:numCache>
            </c:numRef>
          </c:yVal>
        </c:ser>
        <c:ser>
          <c:idx val="34"/>
          <c:order val="34"/>
          <c:tx>
            <c:v>o 1986</c:v>
          </c:tx>
          <c:spPr>
            <a:ln w="28575">
              <a:noFill/>
            </a:ln>
          </c:spPr>
          <c:marker>
            <c:symbol val="star"/>
            <c:size val="6"/>
            <c:spPr>
              <a:noFill/>
              <a:ln>
                <a:solidFill>
                  <a:srgbClr val="FF0000"/>
                </a:solidFill>
                <a:prstDash val="solid"/>
              </a:ln>
            </c:spPr>
          </c:marker>
          <c:xVal>
            <c:numRef>
              <c:f>Sheet2!$AZ$60:$AZ$128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2</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2</c:v>
                </c:pt>
                <c:pt idx="64">
                  <c:v>#N/A</c:v>
                </c:pt>
                <c:pt idx="65">
                  <c:v>#N/A</c:v>
                </c:pt>
                <c:pt idx="66">
                  <c:v>#N/A</c:v>
                </c:pt>
                <c:pt idx="67">
                  <c:v>#N/A</c:v>
                </c:pt>
                <c:pt idx="68">
                  <c:v>#N/A</c:v>
                </c:pt>
              </c:numCache>
            </c:numRef>
          </c:xVal>
          <c:yVal>
            <c:numRef>
              <c:f>Sheet2!$D$60:$D$128</c:f>
              <c:numCache>
                <c:formatCode>General</c:formatCode>
                <c:ptCount val="69"/>
                <c:pt idx="0">
                  <c:v>234.9</c:v>
                </c:pt>
                <c:pt idx="1">
                  <c:v>232.2</c:v>
                </c:pt>
                <c:pt idx="2">
                  <c:v>140.80000000000001</c:v>
                </c:pt>
                <c:pt idx="3">
                  <c:v>252.2</c:v>
                </c:pt>
                <c:pt idx="4">
                  <c:v>473.7</c:v>
                </c:pt>
                <c:pt idx="5">
                  <c:v>556.4</c:v>
                </c:pt>
                <c:pt idx="6">
                  <c:v>978.3</c:v>
                </c:pt>
                <c:pt idx="7">
                  <c:v>551.9</c:v>
                </c:pt>
                <c:pt idx="8">
                  <c:v>1693.5</c:v>
                </c:pt>
                <c:pt idx="9">
                  <c:v>573.29999999999995</c:v>
                </c:pt>
                <c:pt idx="10">
                  <c:v>842.6</c:v>
                </c:pt>
                <c:pt idx="11">
                  <c:v>610.70000000000005</c:v>
                </c:pt>
                <c:pt idx="12">
                  <c:v>643.9</c:v>
                </c:pt>
                <c:pt idx="13">
                  <c:v>1432.6</c:v>
                </c:pt>
                <c:pt idx="14">
                  <c:v>709.3</c:v>
                </c:pt>
                <c:pt idx="15">
                  <c:v>668.8</c:v>
                </c:pt>
                <c:pt idx="16">
                  <c:v>725.9</c:v>
                </c:pt>
                <c:pt idx="17">
                  <c:v>820.2</c:v>
                </c:pt>
                <c:pt idx="18">
                  <c:v>745.1</c:v>
                </c:pt>
                <c:pt idx="19">
                  <c:v>1995.2</c:v>
                </c:pt>
                <c:pt idx="20">
                  <c:v>1188.0999999999999</c:v>
                </c:pt>
                <c:pt idx="21">
                  <c:v>896.6</c:v>
                </c:pt>
                <c:pt idx="22">
                  <c:v>1354.5</c:v>
                </c:pt>
                <c:pt idx="23">
                  <c:v>1128.7</c:v>
                </c:pt>
                <c:pt idx="24">
                  <c:v>1216.8</c:v>
                </c:pt>
                <c:pt idx="25">
                  <c:v>605.9</c:v>
                </c:pt>
                <c:pt idx="26">
                  <c:v>1819.5</c:v>
                </c:pt>
                <c:pt idx="27">
                  <c:v>814.9</c:v>
                </c:pt>
                <c:pt idx="28">
                  <c:v>2389.5</c:v>
                </c:pt>
                <c:pt idx="29">
                  <c:v>649.9</c:v>
                </c:pt>
                <c:pt idx="30">
                  <c:v>2035.6</c:v>
                </c:pt>
                <c:pt idx="31">
                  <c:v>1212.8</c:v>
                </c:pt>
                <c:pt idx="32">
                  <c:v>996.5</c:v>
                </c:pt>
                <c:pt idx="33">
                  <c:v>917.8</c:v>
                </c:pt>
                <c:pt idx="34">
                  <c:v>503.2</c:v>
                </c:pt>
                <c:pt idx="35">
                  <c:v>502.9</c:v>
                </c:pt>
                <c:pt idx="36">
                  <c:v>954.5</c:v>
                </c:pt>
                <c:pt idx="37">
                  <c:v>909.4</c:v>
                </c:pt>
                <c:pt idx="38">
                  <c:v>3186.9</c:v>
                </c:pt>
                <c:pt idx="39">
                  <c:v>891.7</c:v>
                </c:pt>
                <c:pt idx="40">
                  <c:v>1266.5</c:v>
                </c:pt>
                <c:pt idx="41">
                  <c:v>535</c:v>
                </c:pt>
                <c:pt idx="42">
                  <c:v>1178.5</c:v>
                </c:pt>
                <c:pt idx="43">
                  <c:v>1297.8</c:v>
                </c:pt>
                <c:pt idx="44">
                  <c:v>1896.2</c:v>
                </c:pt>
                <c:pt idx="45">
                  <c:v>901.5</c:v>
                </c:pt>
                <c:pt idx="46">
                  <c:v>1170.3</c:v>
                </c:pt>
                <c:pt idx="47">
                  <c:v>1323.3</c:v>
                </c:pt>
                <c:pt idx="48">
                  <c:v>1156.2</c:v>
                </c:pt>
                <c:pt idx="49">
                  <c:v>2158</c:v>
                </c:pt>
                <c:pt idx="50">
                  <c:v>2159</c:v>
                </c:pt>
                <c:pt idx="51">
                  <c:v>2170.8000000000002</c:v>
                </c:pt>
                <c:pt idx="52">
                  <c:v>877.9</c:v>
                </c:pt>
                <c:pt idx="53">
                  <c:v>715.2</c:v>
                </c:pt>
                <c:pt idx="54">
                  <c:v>915.2</c:v>
                </c:pt>
                <c:pt idx="55">
                  <c:v>1105.4000000000001</c:v>
                </c:pt>
                <c:pt idx="56">
                  <c:v>1505.1</c:v>
                </c:pt>
                <c:pt idx="57">
                  <c:v>984.3</c:v>
                </c:pt>
                <c:pt idx="58">
                  <c:v>1126.9000000000001</c:v>
                </c:pt>
                <c:pt idx="59">
                  <c:v>1301.8</c:v>
                </c:pt>
                <c:pt idx="60">
                  <c:v>1045.9000000000001</c:v>
                </c:pt>
                <c:pt idx="61">
                  <c:v>1642.3</c:v>
                </c:pt>
                <c:pt idx="62">
                  <c:v>895.7</c:v>
                </c:pt>
                <c:pt idx="63">
                  <c:v>2953.7</c:v>
                </c:pt>
                <c:pt idx="64">
                  <c:v>1943.6</c:v>
                </c:pt>
                <c:pt idx="65">
                  <c:v>1885</c:v>
                </c:pt>
                <c:pt idx="66">
                  <c:v>1586.8</c:v>
                </c:pt>
                <c:pt idx="67">
                  <c:v>2277</c:v>
                </c:pt>
                <c:pt idx="68">
                  <c:v>2486.6</c:v>
                </c:pt>
              </c:numCache>
            </c:numRef>
          </c:yVal>
        </c:ser>
        <c:ser>
          <c:idx val="35"/>
          <c:order val="35"/>
          <c:tx>
            <c:v>o 1987</c:v>
          </c:tx>
          <c:spPr>
            <a:ln w="28575">
              <a:noFill/>
            </a:ln>
          </c:spPr>
          <c:marker>
            <c:symbol val="star"/>
            <c:size val="6"/>
            <c:spPr>
              <a:noFill/>
              <a:ln>
                <a:solidFill>
                  <a:srgbClr val="FF0000"/>
                </a:solidFill>
                <a:prstDash val="solid"/>
              </a:ln>
            </c:spPr>
          </c:marker>
          <c:xVal>
            <c:numRef>
              <c:f>Sheet2!$BA$60:$BA$128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3</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3</c:v>
                </c:pt>
                <c:pt idx="64">
                  <c:v>#N/A</c:v>
                </c:pt>
                <c:pt idx="65">
                  <c:v>#N/A</c:v>
                </c:pt>
                <c:pt idx="66">
                  <c:v>#N/A</c:v>
                </c:pt>
                <c:pt idx="67">
                  <c:v>#N/A</c:v>
                </c:pt>
                <c:pt idx="68">
                  <c:v>#N/A</c:v>
                </c:pt>
              </c:numCache>
            </c:numRef>
          </c:xVal>
          <c:yVal>
            <c:numRef>
              <c:f>Sheet2!$E$60:$E$128</c:f>
              <c:numCache>
                <c:formatCode>General</c:formatCode>
                <c:ptCount val="69"/>
                <c:pt idx="0">
                  <c:v>208</c:v>
                </c:pt>
                <c:pt idx="1">
                  <c:v>211.1</c:v>
                </c:pt>
                <c:pt idx="2">
                  <c:v>134.19999999999999</c:v>
                </c:pt>
                <c:pt idx="3">
                  <c:v>271.2</c:v>
                </c:pt>
                <c:pt idx="4">
                  <c:v>352.5</c:v>
                </c:pt>
                <c:pt idx="5">
                  <c:v>599.70000000000005</c:v>
                </c:pt>
                <c:pt idx="6">
                  <c:v>875.2</c:v>
                </c:pt>
                <c:pt idx="7">
                  <c:v>516.20000000000005</c:v>
                </c:pt>
                <c:pt idx="8">
                  <c:v>1451.2</c:v>
                </c:pt>
                <c:pt idx="9">
                  <c:v>492.7</c:v>
                </c:pt>
                <c:pt idx="10">
                  <c:v>875.4</c:v>
                </c:pt>
                <c:pt idx="11">
                  <c:v>505.3</c:v>
                </c:pt>
                <c:pt idx="12">
                  <c:v>492.6</c:v>
                </c:pt>
                <c:pt idx="13">
                  <c:v>1227.5999999999999</c:v>
                </c:pt>
                <c:pt idx="14">
                  <c:v>662</c:v>
                </c:pt>
                <c:pt idx="15">
                  <c:v>615</c:v>
                </c:pt>
                <c:pt idx="16">
                  <c:v>648.79999999999995</c:v>
                </c:pt>
                <c:pt idx="17">
                  <c:v>676.4</c:v>
                </c:pt>
                <c:pt idx="18">
                  <c:v>863.5</c:v>
                </c:pt>
                <c:pt idx="19">
                  <c:v>2036.1</c:v>
                </c:pt>
                <c:pt idx="20">
                  <c:v>1225.7</c:v>
                </c:pt>
                <c:pt idx="21">
                  <c:v>753.8</c:v>
                </c:pt>
                <c:pt idx="22">
                  <c:v>1435.2</c:v>
                </c:pt>
                <c:pt idx="23">
                  <c:v>1085.5999999999999</c:v>
                </c:pt>
                <c:pt idx="24">
                  <c:v>1155.7</c:v>
                </c:pt>
                <c:pt idx="25">
                  <c:v>487</c:v>
                </c:pt>
                <c:pt idx="26">
                  <c:v>1779.1</c:v>
                </c:pt>
                <c:pt idx="27">
                  <c:v>940.6</c:v>
                </c:pt>
                <c:pt idx="28">
                  <c:v>2242.1</c:v>
                </c:pt>
                <c:pt idx="29">
                  <c:v>561.70000000000005</c:v>
                </c:pt>
                <c:pt idx="30">
                  <c:v>1910.2</c:v>
                </c:pt>
                <c:pt idx="31">
                  <c:v>1146.9000000000001</c:v>
                </c:pt>
                <c:pt idx="32">
                  <c:v>876.7</c:v>
                </c:pt>
                <c:pt idx="33">
                  <c:v>940.6</c:v>
                </c:pt>
                <c:pt idx="34">
                  <c:v>687.1</c:v>
                </c:pt>
                <c:pt idx="35">
                  <c:v>443.6</c:v>
                </c:pt>
                <c:pt idx="36">
                  <c:v>860.4</c:v>
                </c:pt>
                <c:pt idx="37">
                  <c:v>947.7</c:v>
                </c:pt>
                <c:pt idx="38">
                  <c:v>2803.4</c:v>
                </c:pt>
                <c:pt idx="39">
                  <c:v>862</c:v>
                </c:pt>
                <c:pt idx="40">
                  <c:v>1210.8</c:v>
                </c:pt>
                <c:pt idx="41">
                  <c:v>538.70000000000005</c:v>
                </c:pt>
                <c:pt idx="42">
                  <c:v>1034.3</c:v>
                </c:pt>
                <c:pt idx="43">
                  <c:v>1520.4</c:v>
                </c:pt>
                <c:pt idx="44">
                  <c:v>1988.8</c:v>
                </c:pt>
                <c:pt idx="45">
                  <c:v>852.3</c:v>
                </c:pt>
                <c:pt idx="46">
                  <c:v>1110</c:v>
                </c:pt>
                <c:pt idx="47">
                  <c:v>1156.4000000000001</c:v>
                </c:pt>
                <c:pt idx="48">
                  <c:v>1090.3</c:v>
                </c:pt>
                <c:pt idx="49">
                  <c:v>1895.4</c:v>
                </c:pt>
                <c:pt idx="50">
                  <c:v>2075.8000000000002</c:v>
                </c:pt>
                <c:pt idx="51">
                  <c:v>2142.6999999999998</c:v>
                </c:pt>
                <c:pt idx="52">
                  <c:v>845.8</c:v>
                </c:pt>
                <c:pt idx="53">
                  <c:v>802.1</c:v>
                </c:pt>
                <c:pt idx="54">
                  <c:v>949</c:v>
                </c:pt>
                <c:pt idx="55">
                  <c:v>1091.2</c:v>
                </c:pt>
                <c:pt idx="56">
                  <c:v>1610.3</c:v>
                </c:pt>
                <c:pt idx="57">
                  <c:v>988.3</c:v>
                </c:pt>
                <c:pt idx="58">
                  <c:v>968.3</c:v>
                </c:pt>
                <c:pt idx="59">
                  <c:v>1270.4000000000001</c:v>
                </c:pt>
                <c:pt idx="60">
                  <c:v>1054.8</c:v>
                </c:pt>
                <c:pt idx="61">
                  <c:v>1541</c:v>
                </c:pt>
                <c:pt idx="62">
                  <c:v>1078.4000000000001</c:v>
                </c:pt>
                <c:pt idx="63">
                  <c:v>2998.7</c:v>
                </c:pt>
                <c:pt idx="64">
                  <c:v>1868.9</c:v>
                </c:pt>
                <c:pt idx="65">
                  <c:v>1771.9</c:v>
                </c:pt>
                <c:pt idx="66">
                  <c:v>1338.9</c:v>
                </c:pt>
                <c:pt idx="67">
                  <c:v>2277.1</c:v>
                </c:pt>
                <c:pt idx="68">
                  <c:v>2544.9</c:v>
                </c:pt>
              </c:numCache>
            </c:numRef>
          </c:yVal>
        </c:ser>
        <c:ser>
          <c:idx val="36"/>
          <c:order val="36"/>
          <c:tx>
            <c:v>o 1988</c:v>
          </c:tx>
          <c:spPr>
            <a:ln w="28575">
              <a:noFill/>
            </a:ln>
          </c:spPr>
          <c:marker>
            <c:symbol val="star"/>
            <c:size val="6"/>
            <c:spPr>
              <a:noFill/>
              <a:ln>
                <a:solidFill>
                  <a:srgbClr val="FF0000"/>
                </a:solidFill>
                <a:prstDash val="solid"/>
              </a:ln>
            </c:spPr>
          </c:marker>
          <c:xVal>
            <c:numRef>
              <c:f>Sheet2!$BB$60:$BB$128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4</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4</c:v>
                </c:pt>
                <c:pt idx="64">
                  <c:v>#N/A</c:v>
                </c:pt>
                <c:pt idx="65">
                  <c:v>#N/A</c:v>
                </c:pt>
                <c:pt idx="66">
                  <c:v>#N/A</c:v>
                </c:pt>
                <c:pt idx="67">
                  <c:v>#N/A</c:v>
                </c:pt>
                <c:pt idx="68">
                  <c:v>#N/A</c:v>
                </c:pt>
              </c:numCache>
            </c:numRef>
          </c:xVal>
          <c:yVal>
            <c:numRef>
              <c:f>Sheet2!$F$60:$F$128</c:f>
              <c:numCache>
                <c:formatCode>General</c:formatCode>
                <c:ptCount val="69"/>
                <c:pt idx="0">
                  <c:v>213.3</c:v>
                </c:pt>
                <c:pt idx="1">
                  <c:v>201.7</c:v>
                </c:pt>
                <c:pt idx="2">
                  <c:v>166.6</c:v>
                </c:pt>
                <c:pt idx="3">
                  <c:v>260.7</c:v>
                </c:pt>
                <c:pt idx="4">
                  <c:v>274</c:v>
                </c:pt>
                <c:pt idx="5">
                  <c:v>640.6</c:v>
                </c:pt>
                <c:pt idx="6">
                  <c:v>898.2</c:v>
                </c:pt>
                <c:pt idx="7">
                  <c:v>574.4</c:v>
                </c:pt>
                <c:pt idx="8">
                  <c:v>1507.5</c:v>
                </c:pt>
                <c:pt idx="9">
                  <c:v>521.6</c:v>
                </c:pt>
                <c:pt idx="10">
                  <c:v>854.3</c:v>
                </c:pt>
                <c:pt idx="11">
                  <c:v>463.5</c:v>
                </c:pt>
                <c:pt idx="12">
                  <c:v>536.6</c:v>
                </c:pt>
                <c:pt idx="13">
                  <c:v>1196.4000000000001</c:v>
                </c:pt>
                <c:pt idx="14">
                  <c:v>563.5</c:v>
                </c:pt>
                <c:pt idx="15">
                  <c:v>625</c:v>
                </c:pt>
                <c:pt idx="16">
                  <c:v>818.5</c:v>
                </c:pt>
                <c:pt idx="17">
                  <c:v>733.9</c:v>
                </c:pt>
                <c:pt idx="18">
                  <c:v>731.7</c:v>
                </c:pt>
                <c:pt idx="19">
                  <c:v>2217.6</c:v>
                </c:pt>
                <c:pt idx="20">
                  <c:v>1125.8</c:v>
                </c:pt>
                <c:pt idx="21">
                  <c:v>726</c:v>
                </c:pt>
                <c:pt idx="22">
                  <c:v>1361.2</c:v>
                </c:pt>
                <c:pt idx="23">
                  <c:v>1239.3</c:v>
                </c:pt>
                <c:pt idx="24">
                  <c:v>1356.3</c:v>
                </c:pt>
                <c:pt idx="25">
                  <c:v>550.25</c:v>
                </c:pt>
                <c:pt idx="26">
                  <c:v>1692.4</c:v>
                </c:pt>
                <c:pt idx="27">
                  <c:v>923.6</c:v>
                </c:pt>
                <c:pt idx="28">
                  <c:v>2240.6</c:v>
                </c:pt>
                <c:pt idx="29">
                  <c:v>551.4</c:v>
                </c:pt>
                <c:pt idx="30">
                  <c:v>1961.5</c:v>
                </c:pt>
                <c:pt idx="31">
                  <c:v>1245.7</c:v>
                </c:pt>
                <c:pt idx="32">
                  <c:v>890.7</c:v>
                </c:pt>
                <c:pt idx="33">
                  <c:v>920.5</c:v>
                </c:pt>
                <c:pt idx="34">
                  <c:v>763.8</c:v>
                </c:pt>
                <c:pt idx="35">
                  <c:v>516</c:v>
                </c:pt>
                <c:pt idx="36">
                  <c:v>905.6</c:v>
                </c:pt>
                <c:pt idx="37">
                  <c:v>986</c:v>
                </c:pt>
                <c:pt idx="38">
                  <c:v>3049.3</c:v>
                </c:pt>
                <c:pt idx="39">
                  <c:v>921.1</c:v>
                </c:pt>
                <c:pt idx="40">
                  <c:v>1282.2</c:v>
                </c:pt>
                <c:pt idx="41">
                  <c:v>565.4</c:v>
                </c:pt>
                <c:pt idx="42">
                  <c:v>1130.4000000000001</c:v>
                </c:pt>
                <c:pt idx="43">
                  <c:v>1481.8000000000002</c:v>
                </c:pt>
                <c:pt idx="44">
                  <c:v>2076.5</c:v>
                </c:pt>
                <c:pt idx="45">
                  <c:v>846.8</c:v>
                </c:pt>
                <c:pt idx="46">
                  <c:v>1063.5999999999999</c:v>
                </c:pt>
                <c:pt idx="47">
                  <c:v>1052</c:v>
                </c:pt>
                <c:pt idx="48">
                  <c:v>1148.5</c:v>
                </c:pt>
                <c:pt idx="49">
                  <c:v>1858.5</c:v>
                </c:pt>
                <c:pt idx="50">
                  <c:v>2099.4</c:v>
                </c:pt>
                <c:pt idx="51">
                  <c:v>2191.6999999999998</c:v>
                </c:pt>
                <c:pt idx="52">
                  <c:v>926.7</c:v>
                </c:pt>
                <c:pt idx="53">
                  <c:v>881.3</c:v>
                </c:pt>
                <c:pt idx="54">
                  <c:v>1166.2</c:v>
                </c:pt>
                <c:pt idx="55">
                  <c:v>1319.4</c:v>
                </c:pt>
                <c:pt idx="56">
                  <c:v>1921.5</c:v>
                </c:pt>
                <c:pt idx="57">
                  <c:v>824.2</c:v>
                </c:pt>
                <c:pt idx="58">
                  <c:v>1070.8</c:v>
                </c:pt>
                <c:pt idx="59">
                  <c:v>1346.7</c:v>
                </c:pt>
                <c:pt idx="60">
                  <c:v>1030.7</c:v>
                </c:pt>
                <c:pt idx="61">
                  <c:v>1507.9</c:v>
                </c:pt>
                <c:pt idx="62">
                  <c:v>1052.2</c:v>
                </c:pt>
                <c:pt idx="63">
                  <c:v>3575.5</c:v>
                </c:pt>
                <c:pt idx="64">
                  <c:v>1927.1</c:v>
                </c:pt>
                <c:pt idx="65">
                  <c:v>1644.7</c:v>
                </c:pt>
                <c:pt idx="66">
                  <c:v>1332.6</c:v>
                </c:pt>
                <c:pt idx="67">
                  <c:v>2465</c:v>
                </c:pt>
                <c:pt idx="68">
                  <c:v>2374.6</c:v>
                </c:pt>
              </c:numCache>
            </c:numRef>
          </c:yVal>
        </c:ser>
        <c:ser>
          <c:idx val="37"/>
          <c:order val="37"/>
          <c:tx>
            <c:v>o 1989</c:v>
          </c:tx>
          <c:spPr>
            <a:ln w="28575">
              <a:noFill/>
            </a:ln>
          </c:spPr>
          <c:marker>
            <c:symbol val="star"/>
            <c:size val="6"/>
            <c:spPr>
              <a:noFill/>
              <a:ln>
                <a:solidFill>
                  <a:srgbClr val="FF0000"/>
                </a:solidFill>
                <a:prstDash val="solid"/>
              </a:ln>
            </c:spPr>
          </c:marker>
          <c:xVal>
            <c:numRef>
              <c:f>Sheet2!$BC$60:$BC$128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5</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5</c:v>
                </c:pt>
                <c:pt idx="68">
                  <c:v>#N/A</c:v>
                </c:pt>
              </c:numCache>
            </c:numRef>
          </c:xVal>
          <c:yVal>
            <c:numRef>
              <c:f>Sheet2!$G$60:$G$128</c:f>
              <c:numCache>
                <c:formatCode>General</c:formatCode>
                <c:ptCount val="69"/>
                <c:pt idx="0">
                  <c:v>195.2</c:v>
                </c:pt>
                <c:pt idx="1">
                  <c:v>205.8</c:v>
                </c:pt>
                <c:pt idx="2">
                  <c:v>256.10000000000002</c:v>
                </c:pt>
                <c:pt idx="3">
                  <c:v>274.54999999999995</c:v>
                </c:pt>
                <c:pt idx="4">
                  <c:v>295.10000000000002</c:v>
                </c:pt>
                <c:pt idx="5">
                  <c:v>598.29999999999995</c:v>
                </c:pt>
                <c:pt idx="6">
                  <c:v>915.8</c:v>
                </c:pt>
                <c:pt idx="7">
                  <c:v>657.4</c:v>
                </c:pt>
                <c:pt idx="8">
                  <c:v>1695.9</c:v>
                </c:pt>
                <c:pt idx="9">
                  <c:v>489.7</c:v>
                </c:pt>
                <c:pt idx="10">
                  <c:v>921.5</c:v>
                </c:pt>
                <c:pt idx="11">
                  <c:v>472.8</c:v>
                </c:pt>
                <c:pt idx="12">
                  <c:v>555.5</c:v>
                </c:pt>
                <c:pt idx="13">
                  <c:v>1300.8</c:v>
                </c:pt>
                <c:pt idx="14">
                  <c:v>553.1</c:v>
                </c:pt>
                <c:pt idx="15">
                  <c:v>659.9</c:v>
                </c:pt>
                <c:pt idx="16">
                  <c:v>942.7</c:v>
                </c:pt>
                <c:pt idx="17">
                  <c:v>774.7</c:v>
                </c:pt>
                <c:pt idx="18">
                  <c:v>707.3</c:v>
                </c:pt>
                <c:pt idx="19">
                  <c:v>2299.9</c:v>
                </c:pt>
                <c:pt idx="20">
                  <c:v>1106.0999999999999</c:v>
                </c:pt>
                <c:pt idx="21">
                  <c:v>722.2</c:v>
                </c:pt>
                <c:pt idx="22">
                  <c:v>1337.1</c:v>
                </c:pt>
                <c:pt idx="23">
                  <c:v>1362.6</c:v>
                </c:pt>
                <c:pt idx="24">
                  <c:v>1360.6</c:v>
                </c:pt>
                <c:pt idx="25">
                  <c:v>613.5</c:v>
                </c:pt>
                <c:pt idx="26">
                  <c:v>1549</c:v>
                </c:pt>
                <c:pt idx="27">
                  <c:v>906.6</c:v>
                </c:pt>
                <c:pt idx="28">
                  <c:v>1891.1</c:v>
                </c:pt>
                <c:pt idx="29">
                  <c:v>596.6</c:v>
                </c:pt>
                <c:pt idx="30">
                  <c:v>2246.1</c:v>
                </c:pt>
                <c:pt idx="31">
                  <c:v>1682.8</c:v>
                </c:pt>
                <c:pt idx="32">
                  <c:v>900.4</c:v>
                </c:pt>
                <c:pt idx="33">
                  <c:v>914.15</c:v>
                </c:pt>
                <c:pt idx="34">
                  <c:v>757.3</c:v>
                </c:pt>
                <c:pt idx="35">
                  <c:v>506.4</c:v>
                </c:pt>
                <c:pt idx="36">
                  <c:v>997</c:v>
                </c:pt>
                <c:pt idx="37">
                  <c:v>1045.9000000000001</c:v>
                </c:pt>
                <c:pt idx="38">
                  <c:v>3294.7</c:v>
                </c:pt>
                <c:pt idx="39">
                  <c:v>940.4</c:v>
                </c:pt>
                <c:pt idx="40">
                  <c:v>1340.1</c:v>
                </c:pt>
                <c:pt idx="41">
                  <c:v>774.1</c:v>
                </c:pt>
                <c:pt idx="42">
                  <c:v>1220.4000000000001</c:v>
                </c:pt>
                <c:pt idx="43">
                  <c:v>1443.2</c:v>
                </c:pt>
                <c:pt idx="44">
                  <c:v>2130.6</c:v>
                </c:pt>
                <c:pt idx="45">
                  <c:v>991.2</c:v>
                </c:pt>
                <c:pt idx="46">
                  <c:v>1216.5</c:v>
                </c:pt>
                <c:pt idx="47">
                  <c:v>1053.7</c:v>
                </c:pt>
                <c:pt idx="48">
                  <c:v>1139.7</c:v>
                </c:pt>
                <c:pt idx="49">
                  <c:v>2042.5</c:v>
                </c:pt>
                <c:pt idx="50">
                  <c:v>2227</c:v>
                </c:pt>
                <c:pt idx="51">
                  <c:v>2340.6999999999998</c:v>
                </c:pt>
                <c:pt idx="52">
                  <c:v>1187.5999999999999</c:v>
                </c:pt>
                <c:pt idx="53">
                  <c:v>960.5</c:v>
                </c:pt>
                <c:pt idx="54">
                  <c:v>1210.4000000000001</c:v>
                </c:pt>
                <c:pt idx="55">
                  <c:v>1425.1</c:v>
                </c:pt>
                <c:pt idx="56">
                  <c:v>2141.6999999999998</c:v>
                </c:pt>
                <c:pt idx="57">
                  <c:v>710.6</c:v>
                </c:pt>
                <c:pt idx="58">
                  <c:v>1209.8</c:v>
                </c:pt>
                <c:pt idx="59">
                  <c:v>1520.3</c:v>
                </c:pt>
                <c:pt idx="60">
                  <c:v>1092.7</c:v>
                </c:pt>
                <c:pt idx="61">
                  <c:v>1540.5</c:v>
                </c:pt>
                <c:pt idx="62">
                  <c:v>1043.0999999999999</c:v>
                </c:pt>
                <c:pt idx="63">
                  <c:v>3951.4</c:v>
                </c:pt>
                <c:pt idx="64">
                  <c:v>2046.5</c:v>
                </c:pt>
                <c:pt idx="65">
                  <c:v>1516.5</c:v>
                </c:pt>
                <c:pt idx="66">
                  <c:v>1233.3</c:v>
                </c:pt>
                <c:pt idx="67">
                  <c:v>3121.5</c:v>
                </c:pt>
                <c:pt idx="68">
                  <c:v>2400.5</c:v>
                </c:pt>
              </c:numCache>
            </c:numRef>
          </c:yVal>
        </c:ser>
        <c:ser>
          <c:idx val="38"/>
          <c:order val="38"/>
          <c:tx>
            <c:v>o 1990</c:v>
          </c:tx>
          <c:spPr>
            <a:ln w="28575">
              <a:noFill/>
            </a:ln>
          </c:spPr>
          <c:marker>
            <c:symbol val="star"/>
            <c:size val="6"/>
            <c:spPr>
              <a:noFill/>
              <a:ln>
                <a:solidFill>
                  <a:srgbClr val="FF0000"/>
                </a:solidFill>
                <a:prstDash val="solid"/>
              </a:ln>
            </c:spPr>
          </c:marker>
          <c:xVal>
            <c:numRef>
              <c:f>Sheet2!$BD$60:$BD$128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6</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6</c:v>
                </c:pt>
                <c:pt idx="64">
                  <c:v>#N/A</c:v>
                </c:pt>
                <c:pt idx="65">
                  <c:v>#N/A</c:v>
                </c:pt>
                <c:pt idx="66">
                  <c:v>#N/A</c:v>
                </c:pt>
                <c:pt idx="67">
                  <c:v>6</c:v>
                </c:pt>
                <c:pt idx="68">
                  <c:v>#N/A</c:v>
                </c:pt>
              </c:numCache>
            </c:numRef>
          </c:xVal>
          <c:yVal>
            <c:numRef>
              <c:f>Sheet2!$H$60:$H$128</c:f>
              <c:numCache>
                <c:formatCode>General</c:formatCode>
                <c:ptCount val="69"/>
                <c:pt idx="0">
                  <c:v>286.39999999999969</c:v>
                </c:pt>
                <c:pt idx="1">
                  <c:v>229.5</c:v>
                </c:pt>
                <c:pt idx="2">
                  <c:v>344.2</c:v>
                </c:pt>
                <c:pt idx="3">
                  <c:v>288.39999999999969</c:v>
                </c:pt>
                <c:pt idx="4">
                  <c:v>320.3</c:v>
                </c:pt>
                <c:pt idx="5">
                  <c:v>600.6</c:v>
                </c:pt>
                <c:pt idx="6">
                  <c:v>991.8</c:v>
                </c:pt>
                <c:pt idx="7">
                  <c:v>676.4</c:v>
                </c:pt>
                <c:pt idx="8">
                  <c:v>3004.9</c:v>
                </c:pt>
                <c:pt idx="9">
                  <c:v>598.4</c:v>
                </c:pt>
                <c:pt idx="10">
                  <c:v>1084.8</c:v>
                </c:pt>
                <c:pt idx="11">
                  <c:v>421.1</c:v>
                </c:pt>
                <c:pt idx="12">
                  <c:v>714.3</c:v>
                </c:pt>
                <c:pt idx="13">
                  <c:v>1436.7</c:v>
                </c:pt>
                <c:pt idx="14">
                  <c:v>612.20000000000005</c:v>
                </c:pt>
                <c:pt idx="15">
                  <c:v>567</c:v>
                </c:pt>
                <c:pt idx="16">
                  <c:v>906.6</c:v>
                </c:pt>
                <c:pt idx="17">
                  <c:v>935.1</c:v>
                </c:pt>
                <c:pt idx="18">
                  <c:v>726.4</c:v>
                </c:pt>
                <c:pt idx="19">
                  <c:v>2383.6</c:v>
                </c:pt>
                <c:pt idx="20">
                  <c:v>969.6</c:v>
                </c:pt>
                <c:pt idx="21">
                  <c:v>899.3</c:v>
                </c:pt>
                <c:pt idx="22">
                  <c:v>1507</c:v>
                </c:pt>
                <c:pt idx="23">
                  <c:v>1362</c:v>
                </c:pt>
                <c:pt idx="24">
                  <c:v>1241.9000000000001</c:v>
                </c:pt>
                <c:pt idx="25">
                  <c:v>785.4</c:v>
                </c:pt>
                <c:pt idx="26">
                  <c:v>1748.4</c:v>
                </c:pt>
                <c:pt idx="27">
                  <c:v>847.8</c:v>
                </c:pt>
                <c:pt idx="28">
                  <c:v>1791.8</c:v>
                </c:pt>
                <c:pt idx="29">
                  <c:v>716.8</c:v>
                </c:pt>
                <c:pt idx="30">
                  <c:v>2404.6</c:v>
                </c:pt>
                <c:pt idx="31">
                  <c:v>1956.8</c:v>
                </c:pt>
                <c:pt idx="32">
                  <c:v>1084.5</c:v>
                </c:pt>
                <c:pt idx="33">
                  <c:v>907.8</c:v>
                </c:pt>
                <c:pt idx="34">
                  <c:v>624.20000000000005</c:v>
                </c:pt>
                <c:pt idx="35">
                  <c:v>587.6</c:v>
                </c:pt>
                <c:pt idx="36">
                  <c:v>1082.3</c:v>
                </c:pt>
                <c:pt idx="37">
                  <c:v>1109.5</c:v>
                </c:pt>
                <c:pt idx="38">
                  <c:v>3882</c:v>
                </c:pt>
                <c:pt idx="39">
                  <c:v>1014.9</c:v>
                </c:pt>
                <c:pt idx="40">
                  <c:v>1711.1</c:v>
                </c:pt>
                <c:pt idx="41">
                  <c:v>720</c:v>
                </c:pt>
                <c:pt idx="42">
                  <c:v>1331</c:v>
                </c:pt>
                <c:pt idx="43">
                  <c:v>1830.4</c:v>
                </c:pt>
                <c:pt idx="44">
                  <c:v>2438.1999999999998</c:v>
                </c:pt>
                <c:pt idx="45">
                  <c:v>1229.5</c:v>
                </c:pt>
                <c:pt idx="46">
                  <c:v>1356.4</c:v>
                </c:pt>
                <c:pt idx="47">
                  <c:v>1077</c:v>
                </c:pt>
                <c:pt idx="48">
                  <c:v>1388.3</c:v>
                </c:pt>
                <c:pt idx="49">
                  <c:v>2550.4</c:v>
                </c:pt>
                <c:pt idx="50">
                  <c:v>2379.3000000000002</c:v>
                </c:pt>
                <c:pt idx="51">
                  <c:v>2842.2</c:v>
                </c:pt>
                <c:pt idx="52">
                  <c:v>1333.5</c:v>
                </c:pt>
                <c:pt idx="53">
                  <c:v>1063.5</c:v>
                </c:pt>
                <c:pt idx="54">
                  <c:v>1287.0999999999999</c:v>
                </c:pt>
                <c:pt idx="55">
                  <c:v>1607.6</c:v>
                </c:pt>
                <c:pt idx="56">
                  <c:v>2458.1999999999998</c:v>
                </c:pt>
                <c:pt idx="57">
                  <c:v>1000.2</c:v>
                </c:pt>
                <c:pt idx="58">
                  <c:v>1245.4000000000001</c:v>
                </c:pt>
                <c:pt idx="59">
                  <c:v>1817.6</c:v>
                </c:pt>
                <c:pt idx="60">
                  <c:v>1348.8</c:v>
                </c:pt>
                <c:pt idx="61">
                  <c:v>1559</c:v>
                </c:pt>
                <c:pt idx="62">
                  <c:v>1378.4</c:v>
                </c:pt>
                <c:pt idx="63">
                  <c:v>4085.4</c:v>
                </c:pt>
                <c:pt idx="64">
                  <c:v>2437.6999999999998</c:v>
                </c:pt>
                <c:pt idx="65">
                  <c:v>1570.2</c:v>
                </c:pt>
                <c:pt idx="66">
                  <c:v>1488</c:v>
                </c:pt>
                <c:pt idx="67">
                  <c:v>3449.1</c:v>
                </c:pt>
                <c:pt idx="68">
                  <c:v>2699.2</c:v>
                </c:pt>
              </c:numCache>
            </c:numRef>
          </c:yVal>
        </c:ser>
        <c:ser>
          <c:idx val="39"/>
          <c:order val="39"/>
          <c:tx>
            <c:v>o 1991</c:v>
          </c:tx>
          <c:spPr>
            <a:ln w="28575">
              <a:noFill/>
            </a:ln>
          </c:spPr>
          <c:marker>
            <c:symbol val="star"/>
            <c:size val="6"/>
            <c:spPr>
              <a:noFill/>
              <a:ln>
                <a:solidFill>
                  <a:srgbClr val="FF0000"/>
                </a:solidFill>
                <a:prstDash val="solid"/>
              </a:ln>
            </c:spPr>
          </c:marker>
          <c:xVal>
            <c:numRef>
              <c:f>Sheet2!$BE$60:$BE$128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7</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7</c:v>
                </c:pt>
                <c:pt idx="64">
                  <c:v>#N/A</c:v>
                </c:pt>
                <c:pt idx="65">
                  <c:v>#N/A</c:v>
                </c:pt>
                <c:pt idx="66">
                  <c:v>#N/A</c:v>
                </c:pt>
                <c:pt idx="67">
                  <c:v>7</c:v>
                </c:pt>
                <c:pt idx="68">
                  <c:v>#N/A</c:v>
                </c:pt>
              </c:numCache>
            </c:numRef>
          </c:xVal>
          <c:yVal>
            <c:numRef>
              <c:f>Sheet2!$I$60:$I$128</c:f>
              <c:numCache>
                <c:formatCode>General</c:formatCode>
                <c:ptCount val="69"/>
                <c:pt idx="0">
                  <c:v>405</c:v>
                </c:pt>
                <c:pt idx="1">
                  <c:v>272.2</c:v>
                </c:pt>
                <c:pt idx="2">
                  <c:v>324.8</c:v>
                </c:pt>
                <c:pt idx="3">
                  <c:v>240.3</c:v>
                </c:pt>
                <c:pt idx="4">
                  <c:v>298</c:v>
                </c:pt>
                <c:pt idx="5">
                  <c:v>658.5</c:v>
                </c:pt>
                <c:pt idx="6">
                  <c:v>1067</c:v>
                </c:pt>
                <c:pt idx="7">
                  <c:v>714.1</c:v>
                </c:pt>
                <c:pt idx="8">
                  <c:v>3268.4</c:v>
                </c:pt>
                <c:pt idx="9">
                  <c:v>698.2</c:v>
                </c:pt>
                <c:pt idx="10">
                  <c:v>1219.9000000000001</c:v>
                </c:pt>
                <c:pt idx="11">
                  <c:v>480.6</c:v>
                </c:pt>
                <c:pt idx="12">
                  <c:v>624.1</c:v>
                </c:pt>
                <c:pt idx="13">
                  <c:v>1645.4</c:v>
                </c:pt>
                <c:pt idx="14">
                  <c:v>792.2</c:v>
                </c:pt>
                <c:pt idx="15">
                  <c:v>833.2</c:v>
                </c:pt>
                <c:pt idx="16">
                  <c:v>1102.5</c:v>
                </c:pt>
                <c:pt idx="17">
                  <c:v>956.4</c:v>
                </c:pt>
                <c:pt idx="18">
                  <c:v>785.8</c:v>
                </c:pt>
                <c:pt idx="19">
                  <c:v>2318.1999999999998</c:v>
                </c:pt>
                <c:pt idx="20">
                  <c:v>958.2</c:v>
                </c:pt>
                <c:pt idx="21">
                  <c:v>1049.9000000000001</c:v>
                </c:pt>
                <c:pt idx="22">
                  <c:v>1356.3</c:v>
                </c:pt>
                <c:pt idx="23">
                  <c:v>1574.2</c:v>
                </c:pt>
                <c:pt idx="24">
                  <c:v>1274.4000000000001</c:v>
                </c:pt>
                <c:pt idx="25">
                  <c:v>793.6</c:v>
                </c:pt>
                <c:pt idx="26">
                  <c:v>1949.8</c:v>
                </c:pt>
                <c:pt idx="27">
                  <c:v>827.7</c:v>
                </c:pt>
                <c:pt idx="28">
                  <c:v>1806</c:v>
                </c:pt>
                <c:pt idx="29">
                  <c:v>788.6</c:v>
                </c:pt>
                <c:pt idx="30">
                  <c:v>2525.8000000000002</c:v>
                </c:pt>
                <c:pt idx="31">
                  <c:v>2100.6999999999998</c:v>
                </c:pt>
                <c:pt idx="32">
                  <c:v>1105.5</c:v>
                </c:pt>
                <c:pt idx="33">
                  <c:v>939.3</c:v>
                </c:pt>
                <c:pt idx="34">
                  <c:v>824.5</c:v>
                </c:pt>
                <c:pt idx="35">
                  <c:v>711.5</c:v>
                </c:pt>
                <c:pt idx="36">
                  <c:v>1128.2</c:v>
                </c:pt>
                <c:pt idx="37">
                  <c:v>1130.9000000000001</c:v>
                </c:pt>
                <c:pt idx="38">
                  <c:v>3400.2</c:v>
                </c:pt>
                <c:pt idx="39">
                  <c:v>990.3</c:v>
                </c:pt>
                <c:pt idx="40">
                  <c:v>1645.4</c:v>
                </c:pt>
                <c:pt idx="41">
                  <c:v>872.2</c:v>
                </c:pt>
                <c:pt idx="42">
                  <c:v>1422.1</c:v>
                </c:pt>
                <c:pt idx="43">
                  <c:v>1628.9</c:v>
                </c:pt>
                <c:pt idx="44">
                  <c:v>2568.3000000000002</c:v>
                </c:pt>
                <c:pt idx="45">
                  <c:v>1578.2</c:v>
                </c:pt>
                <c:pt idx="46">
                  <c:v>1153.2</c:v>
                </c:pt>
                <c:pt idx="47">
                  <c:v>1298.5</c:v>
                </c:pt>
                <c:pt idx="48">
                  <c:v>1599.9</c:v>
                </c:pt>
                <c:pt idx="49">
                  <c:v>2832.8</c:v>
                </c:pt>
                <c:pt idx="50">
                  <c:v>2066.4</c:v>
                </c:pt>
                <c:pt idx="51">
                  <c:v>3092.5</c:v>
                </c:pt>
                <c:pt idx="52">
                  <c:v>1327.9</c:v>
                </c:pt>
                <c:pt idx="53">
                  <c:v>1038.2</c:v>
                </c:pt>
                <c:pt idx="54">
                  <c:v>1445.1</c:v>
                </c:pt>
                <c:pt idx="55">
                  <c:v>1834.5</c:v>
                </c:pt>
                <c:pt idx="56">
                  <c:v>2452.3000000000002</c:v>
                </c:pt>
                <c:pt idx="57">
                  <c:v>978.7</c:v>
                </c:pt>
                <c:pt idx="58">
                  <c:v>1287.8</c:v>
                </c:pt>
                <c:pt idx="59">
                  <c:v>1831.9</c:v>
                </c:pt>
                <c:pt idx="60">
                  <c:v>1406.1</c:v>
                </c:pt>
                <c:pt idx="61">
                  <c:v>1577.5</c:v>
                </c:pt>
                <c:pt idx="62">
                  <c:v>1574.7</c:v>
                </c:pt>
                <c:pt idx="63">
                  <c:v>4041.1</c:v>
                </c:pt>
                <c:pt idx="64">
                  <c:v>2544</c:v>
                </c:pt>
                <c:pt idx="65">
                  <c:v>2495.8000000000002</c:v>
                </c:pt>
                <c:pt idx="66">
                  <c:v>1422.3</c:v>
                </c:pt>
                <c:pt idx="67">
                  <c:v>3520.2</c:v>
                </c:pt>
                <c:pt idx="68">
                  <c:v>2727.3</c:v>
                </c:pt>
              </c:numCache>
            </c:numRef>
          </c:yVal>
        </c:ser>
        <c:ser>
          <c:idx val="40"/>
          <c:order val="40"/>
          <c:tx>
            <c:v>o 1992</c:v>
          </c:tx>
          <c:spPr>
            <a:ln w="28575">
              <a:noFill/>
            </a:ln>
          </c:spPr>
          <c:marker>
            <c:symbol val="star"/>
            <c:size val="6"/>
            <c:spPr>
              <a:noFill/>
              <a:ln>
                <a:solidFill>
                  <a:srgbClr val="FF0000"/>
                </a:solidFill>
                <a:prstDash val="solid"/>
              </a:ln>
            </c:spPr>
          </c:marker>
          <c:xVal>
            <c:numRef>
              <c:f>Sheet2!$BF$60:$BF$128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8</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8</c:v>
                </c:pt>
                <c:pt idx="64">
                  <c:v>#N/A</c:v>
                </c:pt>
                <c:pt idx="65">
                  <c:v>#N/A</c:v>
                </c:pt>
                <c:pt idx="66">
                  <c:v>#N/A</c:v>
                </c:pt>
                <c:pt idx="67">
                  <c:v>8</c:v>
                </c:pt>
                <c:pt idx="68">
                  <c:v>#N/A</c:v>
                </c:pt>
              </c:numCache>
            </c:numRef>
          </c:xVal>
          <c:yVal>
            <c:numRef>
              <c:f>Sheet2!$J$60:$J$128</c:f>
              <c:numCache>
                <c:formatCode>General</c:formatCode>
                <c:ptCount val="69"/>
                <c:pt idx="0">
                  <c:v>396.1</c:v>
                </c:pt>
                <c:pt idx="1">
                  <c:v>285.10000000000002</c:v>
                </c:pt>
                <c:pt idx="2">
                  <c:v>370</c:v>
                </c:pt>
                <c:pt idx="3">
                  <c:v>272.10000000000002</c:v>
                </c:pt>
                <c:pt idx="4">
                  <c:v>277.89999999999969</c:v>
                </c:pt>
                <c:pt idx="5">
                  <c:v>668.9</c:v>
                </c:pt>
                <c:pt idx="6">
                  <c:v>1087.5999999999999</c:v>
                </c:pt>
                <c:pt idx="7">
                  <c:v>632.6</c:v>
                </c:pt>
                <c:pt idx="8">
                  <c:v>1145.3</c:v>
                </c:pt>
                <c:pt idx="9">
                  <c:v>681.9</c:v>
                </c:pt>
                <c:pt idx="10">
                  <c:v>1284.2</c:v>
                </c:pt>
                <c:pt idx="11">
                  <c:v>520.70000000000005</c:v>
                </c:pt>
                <c:pt idx="12">
                  <c:v>588.9</c:v>
                </c:pt>
                <c:pt idx="13">
                  <c:v>1737.2</c:v>
                </c:pt>
                <c:pt idx="14">
                  <c:v>733</c:v>
                </c:pt>
                <c:pt idx="15">
                  <c:v>1011.3</c:v>
                </c:pt>
                <c:pt idx="16">
                  <c:v>1060.2</c:v>
                </c:pt>
                <c:pt idx="17">
                  <c:v>1049.05</c:v>
                </c:pt>
                <c:pt idx="18">
                  <c:v>747.7</c:v>
                </c:pt>
                <c:pt idx="19">
                  <c:v>2163.6999999999998</c:v>
                </c:pt>
                <c:pt idx="20">
                  <c:v>927.6</c:v>
                </c:pt>
                <c:pt idx="21">
                  <c:v>1076.4000000000001</c:v>
                </c:pt>
                <c:pt idx="22">
                  <c:v>1344.6</c:v>
                </c:pt>
                <c:pt idx="23">
                  <c:v>1486.8</c:v>
                </c:pt>
                <c:pt idx="24">
                  <c:v>1459.8</c:v>
                </c:pt>
                <c:pt idx="25">
                  <c:v>861</c:v>
                </c:pt>
                <c:pt idx="26">
                  <c:v>2018.6</c:v>
                </c:pt>
                <c:pt idx="27">
                  <c:v>1081.5999999999999</c:v>
                </c:pt>
                <c:pt idx="28">
                  <c:v>1831.1</c:v>
                </c:pt>
                <c:pt idx="29">
                  <c:v>755.8</c:v>
                </c:pt>
                <c:pt idx="30">
                  <c:v>2459.5</c:v>
                </c:pt>
                <c:pt idx="31">
                  <c:v>1554.8</c:v>
                </c:pt>
                <c:pt idx="32">
                  <c:v>1090.8</c:v>
                </c:pt>
                <c:pt idx="33">
                  <c:v>1020.9</c:v>
                </c:pt>
                <c:pt idx="34">
                  <c:v>957</c:v>
                </c:pt>
                <c:pt idx="35">
                  <c:v>815.9</c:v>
                </c:pt>
                <c:pt idx="36">
                  <c:v>1399.7</c:v>
                </c:pt>
                <c:pt idx="37">
                  <c:v>1093.0999999999999</c:v>
                </c:pt>
                <c:pt idx="38">
                  <c:v>3500.3</c:v>
                </c:pt>
                <c:pt idx="39">
                  <c:v>939.5</c:v>
                </c:pt>
                <c:pt idx="40">
                  <c:v>1821.3</c:v>
                </c:pt>
                <c:pt idx="41">
                  <c:v>888.5</c:v>
                </c:pt>
                <c:pt idx="42">
                  <c:v>1536.1</c:v>
                </c:pt>
                <c:pt idx="43">
                  <c:v>1739.4</c:v>
                </c:pt>
                <c:pt idx="44">
                  <c:v>2071.6999999999998</c:v>
                </c:pt>
                <c:pt idx="45">
                  <c:v>1566.9</c:v>
                </c:pt>
                <c:pt idx="46">
                  <c:v>1202.4000000000001</c:v>
                </c:pt>
                <c:pt idx="47">
                  <c:v>1220</c:v>
                </c:pt>
                <c:pt idx="48">
                  <c:v>1465.1</c:v>
                </c:pt>
                <c:pt idx="49">
                  <c:v>2854.7</c:v>
                </c:pt>
                <c:pt idx="50">
                  <c:v>2037.6</c:v>
                </c:pt>
                <c:pt idx="51">
                  <c:v>2840.4</c:v>
                </c:pt>
                <c:pt idx="52">
                  <c:v>1335.3</c:v>
                </c:pt>
                <c:pt idx="53">
                  <c:v>934</c:v>
                </c:pt>
                <c:pt idx="54">
                  <c:v>1379.6</c:v>
                </c:pt>
                <c:pt idx="55">
                  <c:v>1926.7</c:v>
                </c:pt>
                <c:pt idx="56">
                  <c:v>2831.9</c:v>
                </c:pt>
                <c:pt idx="57">
                  <c:v>984.7</c:v>
                </c:pt>
                <c:pt idx="58">
                  <c:v>1531.2</c:v>
                </c:pt>
                <c:pt idx="59">
                  <c:v>1661.6</c:v>
                </c:pt>
                <c:pt idx="60">
                  <c:v>1191.2</c:v>
                </c:pt>
                <c:pt idx="61">
                  <c:v>1642.8</c:v>
                </c:pt>
                <c:pt idx="62">
                  <c:v>1628.3</c:v>
                </c:pt>
                <c:pt idx="63">
                  <c:v>3859.1</c:v>
                </c:pt>
                <c:pt idx="64">
                  <c:v>2885.3</c:v>
                </c:pt>
                <c:pt idx="65">
                  <c:v>2626.4</c:v>
                </c:pt>
                <c:pt idx="66">
                  <c:v>1552.6</c:v>
                </c:pt>
                <c:pt idx="67">
                  <c:v>3290.6</c:v>
                </c:pt>
                <c:pt idx="68">
                  <c:v>2532.9</c:v>
                </c:pt>
              </c:numCache>
            </c:numRef>
          </c:yVal>
        </c:ser>
        <c:ser>
          <c:idx val="41"/>
          <c:order val="41"/>
          <c:tx>
            <c:v>o 1993</c:v>
          </c:tx>
          <c:spPr>
            <a:ln w="28575">
              <a:noFill/>
            </a:ln>
          </c:spPr>
          <c:marker>
            <c:symbol val="star"/>
            <c:size val="6"/>
            <c:spPr>
              <a:noFill/>
              <a:ln>
                <a:solidFill>
                  <a:srgbClr val="FF0000"/>
                </a:solidFill>
                <a:prstDash val="solid"/>
              </a:ln>
            </c:spPr>
          </c:marker>
          <c:xVal>
            <c:numRef>
              <c:f>Sheet2!$BG$60:$BG$128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9</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9</c:v>
                </c:pt>
                <c:pt idx="64">
                  <c:v>#N/A</c:v>
                </c:pt>
                <c:pt idx="65">
                  <c:v>#N/A</c:v>
                </c:pt>
                <c:pt idx="66">
                  <c:v>#N/A</c:v>
                </c:pt>
                <c:pt idx="67">
                  <c:v>9</c:v>
                </c:pt>
                <c:pt idx="68">
                  <c:v>#N/A</c:v>
                </c:pt>
              </c:numCache>
            </c:numRef>
          </c:xVal>
          <c:yVal>
            <c:numRef>
              <c:f>Sheet2!$K$60:$K$128</c:f>
              <c:numCache>
                <c:formatCode>General</c:formatCode>
                <c:ptCount val="69"/>
                <c:pt idx="0">
                  <c:v>329.5</c:v>
                </c:pt>
                <c:pt idx="1">
                  <c:v>294.8</c:v>
                </c:pt>
                <c:pt idx="2">
                  <c:v>336.1</c:v>
                </c:pt>
                <c:pt idx="3">
                  <c:v>285.7</c:v>
                </c:pt>
                <c:pt idx="4">
                  <c:v>268.2</c:v>
                </c:pt>
                <c:pt idx="5">
                  <c:v>656.8</c:v>
                </c:pt>
                <c:pt idx="6">
                  <c:v>1101.7</c:v>
                </c:pt>
                <c:pt idx="7">
                  <c:v>704.1</c:v>
                </c:pt>
                <c:pt idx="8">
                  <c:v>1086.7</c:v>
                </c:pt>
                <c:pt idx="9">
                  <c:v>766.3</c:v>
                </c:pt>
                <c:pt idx="10">
                  <c:v>1160</c:v>
                </c:pt>
                <c:pt idx="11">
                  <c:v>510.8</c:v>
                </c:pt>
                <c:pt idx="12">
                  <c:v>599.79999999999995</c:v>
                </c:pt>
                <c:pt idx="13">
                  <c:v>1807.3</c:v>
                </c:pt>
                <c:pt idx="14">
                  <c:v>682.4</c:v>
                </c:pt>
                <c:pt idx="15">
                  <c:v>906</c:v>
                </c:pt>
                <c:pt idx="16">
                  <c:v>1096.3</c:v>
                </c:pt>
                <c:pt idx="17">
                  <c:v>1141.7</c:v>
                </c:pt>
                <c:pt idx="18">
                  <c:v>888.4</c:v>
                </c:pt>
                <c:pt idx="19">
                  <c:v>2089.8000000000002</c:v>
                </c:pt>
                <c:pt idx="20">
                  <c:v>985.2</c:v>
                </c:pt>
                <c:pt idx="21">
                  <c:v>1053.8</c:v>
                </c:pt>
                <c:pt idx="22">
                  <c:v>1399.8</c:v>
                </c:pt>
                <c:pt idx="23">
                  <c:v>1649.1</c:v>
                </c:pt>
                <c:pt idx="24">
                  <c:v>1450.4</c:v>
                </c:pt>
                <c:pt idx="25">
                  <c:v>918.8</c:v>
                </c:pt>
                <c:pt idx="26">
                  <c:v>1506.1</c:v>
                </c:pt>
                <c:pt idx="27">
                  <c:v>995.7</c:v>
                </c:pt>
                <c:pt idx="28">
                  <c:v>1856.5</c:v>
                </c:pt>
                <c:pt idx="29">
                  <c:v>803</c:v>
                </c:pt>
                <c:pt idx="30">
                  <c:v>2374.3000000000002</c:v>
                </c:pt>
                <c:pt idx="31">
                  <c:v>1605.4</c:v>
                </c:pt>
                <c:pt idx="32">
                  <c:v>1146</c:v>
                </c:pt>
                <c:pt idx="33">
                  <c:v>1023.4</c:v>
                </c:pt>
                <c:pt idx="34">
                  <c:v>819.1</c:v>
                </c:pt>
                <c:pt idx="35">
                  <c:v>882.7</c:v>
                </c:pt>
                <c:pt idx="36">
                  <c:v>1416.6</c:v>
                </c:pt>
                <c:pt idx="37">
                  <c:v>1104.5999999999999</c:v>
                </c:pt>
                <c:pt idx="38">
                  <c:v>3787.4</c:v>
                </c:pt>
                <c:pt idx="39">
                  <c:v>997</c:v>
                </c:pt>
                <c:pt idx="40">
                  <c:v>1815</c:v>
                </c:pt>
                <c:pt idx="41">
                  <c:v>874.7</c:v>
                </c:pt>
                <c:pt idx="42">
                  <c:v>1644.1</c:v>
                </c:pt>
                <c:pt idx="43">
                  <c:v>1698.2</c:v>
                </c:pt>
                <c:pt idx="44">
                  <c:v>1743.3</c:v>
                </c:pt>
                <c:pt idx="45">
                  <c:v>1533.3</c:v>
                </c:pt>
                <c:pt idx="46">
                  <c:v>1215.5999999999999</c:v>
                </c:pt>
                <c:pt idx="47">
                  <c:v>1254.0999999999999</c:v>
                </c:pt>
                <c:pt idx="48">
                  <c:v>1453.8</c:v>
                </c:pt>
                <c:pt idx="49">
                  <c:v>2517.3000000000002</c:v>
                </c:pt>
                <c:pt idx="50">
                  <c:v>1957.7</c:v>
                </c:pt>
                <c:pt idx="51">
                  <c:v>2717.4</c:v>
                </c:pt>
                <c:pt idx="52">
                  <c:v>1300.5999999999999</c:v>
                </c:pt>
                <c:pt idx="53">
                  <c:v>962.8</c:v>
                </c:pt>
                <c:pt idx="54">
                  <c:v>1665.8</c:v>
                </c:pt>
                <c:pt idx="55">
                  <c:v>1859.6</c:v>
                </c:pt>
                <c:pt idx="56">
                  <c:v>2921.8</c:v>
                </c:pt>
                <c:pt idx="57">
                  <c:v>965.2</c:v>
                </c:pt>
                <c:pt idx="58">
                  <c:v>1577.5</c:v>
                </c:pt>
                <c:pt idx="59">
                  <c:v>1643.2</c:v>
                </c:pt>
                <c:pt idx="60">
                  <c:v>1255.2</c:v>
                </c:pt>
                <c:pt idx="61">
                  <c:v>1767.7</c:v>
                </c:pt>
                <c:pt idx="62">
                  <c:v>1784.1</c:v>
                </c:pt>
                <c:pt idx="63">
                  <c:v>4041.2</c:v>
                </c:pt>
                <c:pt idx="64">
                  <c:v>2994</c:v>
                </c:pt>
                <c:pt idx="65">
                  <c:v>2601.6</c:v>
                </c:pt>
                <c:pt idx="66">
                  <c:v>1633.8</c:v>
                </c:pt>
                <c:pt idx="67">
                  <c:v>3874.9</c:v>
                </c:pt>
                <c:pt idx="68">
                  <c:v>2663.5</c:v>
                </c:pt>
              </c:numCache>
            </c:numRef>
          </c:yVal>
        </c:ser>
        <c:ser>
          <c:idx val="42"/>
          <c:order val="42"/>
          <c:tx>
            <c:v>o 1994</c:v>
          </c:tx>
          <c:spPr>
            <a:ln w="28575">
              <a:noFill/>
            </a:ln>
          </c:spPr>
          <c:marker>
            <c:symbol val="star"/>
            <c:size val="6"/>
            <c:spPr>
              <a:noFill/>
              <a:ln>
                <a:solidFill>
                  <a:srgbClr val="FF0000"/>
                </a:solidFill>
                <a:prstDash val="solid"/>
              </a:ln>
            </c:spPr>
          </c:marker>
          <c:xVal>
            <c:numRef>
              <c:f>Sheet2!$BH$60:$BH$128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10</c:v>
                </c:pt>
                <c:pt idx="52">
                  <c:v>#N/A</c:v>
                </c:pt>
                <c:pt idx="53">
                  <c:v>#N/A</c:v>
                </c:pt>
                <c:pt idx="54">
                  <c:v>#N/A</c:v>
                </c:pt>
                <c:pt idx="55">
                  <c:v>#N/A</c:v>
                </c:pt>
                <c:pt idx="56">
                  <c:v>10</c:v>
                </c:pt>
                <c:pt idx="57">
                  <c:v>#N/A</c:v>
                </c:pt>
                <c:pt idx="58">
                  <c:v>#N/A</c:v>
                </c:pt>
                <c:pt idx="59">
                  <c:v>#N/A</c:v>
                </c:pt>
                <c:pt idx="60">
                  <c:v>#N/A</c:v>
                </c:pt>
                <c:pt idx="61">
                  <c:v>#N/A</c:v>
                </c:pt>
                <c:pt idx="62">
                  <c:v>#N/A</c:v>
                </c:pt>
                <c:pt idx="63">
                  <c:v>10</c:v>
                </c:pt>
                <c:pt idx="64">
                  <c:v>10</c:v>
                </c:pt>
                <c:pt idx="65">
                  <c:v>#N/A</c:v>
                </c:pt>
                <c:pt idx="66">
                  <c:v>#N/A</c:v>
                </c:pt>
                <c:pt idx="67">
                  <c:v>#N/A</c:v>
                </c:pt>
                <c:pt idx="68">
                  <c:v>10</c:v>
                </c:pt>
              </c:numCache>
            </c:numRef>
          </c:xVal>
          <c:yVal>
            <c:numRef>
              <c:f>Sheet2!$L$60:$L$128</c:f>
              <c:numCache>
                <c:formatCode>General</c:formatCode>
                <c:ptCount val="69"/>
                <c:pt idx="0">
                  <c:v>421.8</c:v>
                </c:pt>
                <c:pt idx="1">
                  <c:v>270.89999999999969</c:v>
                </c:pt>
                <c:pt idx="2">
                  <c:v>388</c:v>
                </c:pt>
                <c:pt idx="3">
                  <c:v>287</c:v>
                </c:pt>
                <c:pt idx="4">
                  <c:v>276</c:v>
                </c:pt>
                <c:pt idx="5">
                  <c:v>725.6</c:v>
                </c:pt>
                <c:pt idx="6">
                  <c:v>950</c:v>
                </c:pt>
                <c:pt idx="7">
                  <c:v>947.9</c:v>
                </c:pt>
                <c:pt idx="8">
                  <c:v>1115.9000000000001</c:v>
                </c:pt>
                <c:pt idx="9">
                  <c:v>749.4</c:v>
                </c:pt>
                <c:pt idx="10">
                  <c:v>1078</c:v>
                </c:pt>
                <c:pt idx="11">
                  <c:v>481.5</c:v>
                </c:pt>
                <c:pt idx="12">
                  <c:v>635</c:v>
                </c:pt>
                <c:pt idx="13">
                  <c:v>1448</c:v>
                </c:pt>
                <c:pt idx="14">
                  <c:v>647.20000000000005</c:v>
                </c:pt>
                <c:pt idx="15">
                  <c:v>951.4</c:v>
                </c:pt>
                <c:pt idx="16">
                  <c:v>1050.8</c:v>
                </c:pt>
                <c:pt idx="17">
                  <c:v>1139.2</c:v>
                </c:pt>
                <c:pt idx="18">
                  <c:v>752.1</c:v>
                </c:pt>
                <c:pt idx="19">
                  <c:v>1860.9</c:v>
                </c:pt>
                <c:pt idx="20">
                  <c:v>1019.6</c:v>
                </c:pt>
                <c:pt idx="21">
                  <c:v>920.8</c:v>
                </c:pt>
                <c:pt idx="22">
                  <c:v>1210.0999999999999</c:v>
                </c:pt>
                <c:pt idx="23">
                  <c:v>1626.8</c:v>
                </c:pt>
                <c:pt idx="24">
                  <c:v>1620</c:v>
                </c:pt>
                <c:pt idx="25">
                  <c:v>980.4</c:v>
                </c:pt>
                <c:pt idx="26">
                  <c:v>1277.8</c:v>
                </c:pt>
                <c:pt idx="27">
                  <c:v>1004.7</c:v>
                </c:pt>
                <c:pt idx="28">
                  <c:v>1902.1</c:v>
                </c:pt>
                <c:pt idx="29">
                  <c:v>852</c:v>
                </c:pt>
                <c:pt idx="30">
                  <c:v>2059</c:v>
                </c:pt>
                <c:pt idx="31">
                  <c:v>1416.7</c:v>
                </c:pt>
                <c:pt idx="32">
                  <c:v>1080.5</c:v>
                </c:pt>
                <c:pt idx="33">
                  <c:v>1106</c:v>
                </c:pt>
                <c:pt idx="34">
                  <c:v>856.3</c:v>
                </c:pt>
                <c:pt idx="35">
                  <c:v>976.9</c:v>
                </c:pt>
                <c:pt idx="36">
                  <c:v>1402.9</c:v>
                </c:pt>
                <c:pt idx="37">
                  <c:v>1043.5999999999999</c:v>
                </c:pt>
                <c:pt idx="38">
                  <c:v>3840.6</c:v>
                </c:pt>
                <c:pt idx="39">
                  <c:v>995.6</c:v>
                </c:pt>
                <c:pt idx="40">
                  <c:v>1461.4</c:v>
                </c:pt>
                <c:pt idx="41">
                  <c:v>742.2</c:v>
                </c:pt>
                <c:pt idx="42">
                  <c:v>1608.7</c:v>
                </c:pt>
                <c:pt idx="43">
                  <c:v>1519.9</c:v>
                </c:pt>
                <c:pt idx="44">
                  <c:v>1589</c:v>
                </c:pt>
                <c:pt idx="45">
                  <c:v>1323.1</c:v>
                </c:pt>
                <c:pt idx="46">
                  <c:v>1113.7</c:v>
                </c:pt>
                <c:pt idx="47">
                  <c:v>1206.3</c:v>
                </c:pt>
                <c:pt idx="48">
                  <c:v>1307.5</c:v>
                </c:pt>
                <c:pt idx="49">
                  <c:v>2435.3000000000002</c:v>
                </c:pt>
                <c:pt idx="50">
                  <c:v>1915.5</c:v>
                </c:pt>
                <c:pt idx="51">
                  <c:v>2684.5</c:v>
                </c:pt>
                <c:pt idx="52">
                  <c:v>1215.5</c:v>
                </c:pt>
                <c:pt idx="53">
                  <c:v>1104.5</c:v>
                </c:pt>
                <c:pt idx="54">
                  <c:v>1700.5</c:v>
                </c:pt>
                <c:pt idx="55">
                  <c:v>2124.1999999999998</c:v>
                </c:pt>
                <c:pt idx="56">
                  <c:v>2662.6</c:v>
                </c:pt>
                <c:pt idx="57">
                  <c:v>1043.7</c:v>
                </c:pt>
                <c:pt idx="58">
                  <c:v>1613.5</c:v>
                </c:pt>
                <c:pt idx="59">
                  <c:v>1529.7</c:v>
                </c:pt>
                <c:pt idx="60">
                  <c:v>1322.5</c:v>
                </c:pt>
                <c:pt idx="61">
                  <c:v>1907.6</c:v>
                </c:pt>
                <c:pt idx="62">
                  <c:v>1798.4</c:v>
                </c:pt>
                <c:pt idx="63">
                  <c:v>3571</c:v>
                </c:pt>
                <c:pt idx="64">
                  <c:v>2834.4</c:v>
                </c:pt>
                <c:pt idx="65">
                  <c:v>2193.9</c:v>
                </c:pt>
                <c:pt idx="66">
                  <c:v>1568.3</c:v>
                </c:pt>
                <c:pt idx="67">
                  <c:v>3750.7</c:v>
                </c:pt>
                <c:pt idx="68">
                  <c:v>2687.2</c:v>
                </c:pt>
              </c:numCache>
            </c:numRef>
          </c:yVal>
        </c:ser>
        <c:ser>
          <c:idx val="43"/>
          <c:order val="43"/>
          <c:tx>
            <c:v>o 1995</c:v>
          </c:tx>
          <c:spPr>
            <a:ln w="28575">
              <a:noFill/>
            </a:ln>
          </c:spPr>
          <c:marker>
            <c:symbol val="star"/>
            <c:size val="6"/>
            <c:spPr>
              <a:noFill/>
              <a:ln>
                <a:solidFill>
                  <a:srgbClr val="FF0000"/>
                </a:solidFill>
                <a:prstDash val="solid"/>
              </a:ln>
            </c:spPr>
          </c:marker>
          <c:xVal>
            <c:numRef>
              <c:f>Sheet2!$BI$60:$BI$128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11</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11</c:v>
                </c:pt>
                <c:pt idx="64">
                  <c:v>11</c:v>
                </c:pt>
                <c:pt idx="65">
                  <c:v>#N/A</c:v>
                </c:pt>
                <c:pt idx="66">
                  <c:v>#N/A</c:v>
                </c:pt>
                <c:pt idx="67">
                  <c:v>11</c:v>
                </c:pt>
                <c:pt idx="68">
                  <c:v>#N/A</c:v>
                </c:pt>
              </c:numCache>
            </c:numRef>
          </c:xVal>
          <c:yVal>
            <c:numRef>
              <c:f>Sheet2!$M$60:$M$128</c:f>
              <c:numCache>
                <c:formatCode>General</c:formatCode>
                <c:ptCount val="69"/>
                <c:pt idx="0">
                  <c:v>295</c:v>
                </c:pt>
                <c:pt idx="1">
                  <c:v>222</c:v>
                </c:pt>
                <c:pt idx="2">
                  <c:v>403.5</c:v>
                </c:pt>
                <c:pt idx="3">
                  <c:v>327.39999999999969</c:v>
                </c:pt>
                <c:pt idx="4">
                  <c:v>326.60000000000002</c:v>
                </c:pt>
                <c:pt idx="5">
                  <c:v>808.1</c:v>
                </c:pt>
                <c:pt idx="6">
                  <c:v>838.3</c:v>
                </c:pt>
                <c:pt idx="7">
                  <c:v>872.9</c:v>
                </c:pt>
                <c:pt idx="8">
                  <c:v>1111.4000000000001</c:v>
                </c:pt>
                <c:pt idx="9">
                  <c:v>812.6</c:v>
                </c:pt>
                <c:pt idx="10">
                  <c:v>956.8</c:v>
                </c:pt>
                <c:pt idx="11">
                  <c:v>482.7</c:v>
                </c:pt>
                <c:pt idx="12">
                  <c:v>773.4</c:v>
                </c:pt>
                <c:pt idx="13">
                  <c:v>762</c:v>
                </c:pt>
                <c:pt idx="14">
                  <c:v>517.9</c:v>
                </c:pt>
                <c:pt idx="15">
                  <c:v>846.4</c:v>
                </c:pt>
                <c:pt idx="16">
                  <c:v>859.8</c:v>
                </c:pt>
                <c:pt idx="17">
                  <c:v>1029.9000000000001</c:v>
                </c:pt>
                <c:pt idx="18">
                  <c:v>803</c:v>
                </c:pt>
                <c:pt idx="19">
                  <c:v>1557.8</c:v>
                </c:pt>
                <c:pt idx="20">
                  <c:v>676</c:v>
                </c:pt>
                <c:pt idx="21">
                  <c:v>861.3</c:v>
                </c:pt>
                <c:pt idx="22">
                  <c:v>926.1</c:v>
                </c:pt>
                <c:pt idx="23">
                  <c:v>1568.4</c:v>
                </c:pt>
                <c:pt idx="24">
                  <c:v>1456.6</c:v>
                </c:pt>
                <c:pt idx="25">
                  <c:v>875.8</c:v>
                </c:pt>
                <c:pt idx="26">
                  <c:v>1160.9000000000001</c:v>
                </c:pt>
                <c:pt idx="27">
                  <c:v>1195.7</c:v>
                </c:pt>
                <c:pt idx="28">
                  <c:v>1926</c:v>
                </c:pt>
                <c:pt idx="29">
                  <c:v>881.2</c:v>
                </c:pt>
                <c:pt idx="30">
                  <c:v>2034.4</c:v>
                </c:pt>
                <c:pt idx="31">
                  <c:v>1295.5</c:v>
                </c:pt>
                <c:pt idx="32">
                  <c:v>1067.5</c:v>
                </c:pt>
                <c:pt idx="33">
                  <c:v>1206.0999999999999</c:v>
                </c:pt>
                <c:pt idx="34">
                  <c:v>985</c:v>
                </c:pt>
                <c:pt idx="35">
                  <c:v>990.1</c:v>
                </c:pt>
                <c:pt idx="36">
                  <c:v>1292.7</c:v>
                </c:pt>
                <c:pt idx="37">
                  <c:v>1037.0999999999999</c:v>
                </c:pt>
                <c:pt idx="38">
                  <c:v>3985.3</c:v>
                </c:pt>
                <c:pt idx="39">
                  <c:v>958.6</c:v>
                </c:pt>
                <c:pt idx="40">
                  <c:v>1476.6</c:v>
                </c:pt>
                <c:pt idx="41">
                  <c:v>701.1</c:v>
                </c:pt>
                <c:pt idx="42">
                  <c:v>1128.0999999999999</c:v>
                </c:pt>
                <c:pt idx="43">
                  <c:v>1412.9</c:v>
                </c:pt>
                <c:pt idx="44">
                  <c:v>1532.4</c:v>
                </c:pt>
                <c:pt idx="45">
                  <c:v>1289.8</c:v>
                </c:pt>
                <c:pt idx="46">
                  <c:v>979.2</c:v>
                </c:pt>
                <c:pt idx="47">
                  <c:v>1138.8</c:v>
                </c:pt>
                <c:pt idx="48">
                  <c:v>1283.5</c:v>
                </c:pt>
                <c:pt idx="49">
                  <c:v>2184.6999999999998</c:v>
                </c:pt>
                <c:pt idx="50">
                  <c:v>1737.6</c:v>
                </c:pt>
                <c:pt idx="51">
                  <c:v>2549.8000000000002</c:v>
                </c:pt>
                <c:pt idx="52">
                  <c:v>1155.8</c:v>
                </c:pt>
                <c:pt idx="53">
                  <c:v>886.8</c:v>
                </c:pt>
                <c:pt idx="54">
                  <c:v>1835.3</c:v>
                </c:pt>
                <c:pt idx="55">
                  <c:v>2027.2</c:v>
                </c:pt>
                <c:pt idx="56">
                  <c:v>2661.6</c:v>
                </c:pt>
                <c:pt idx="57">
                  <c:v>1082.3</c:v>
                </c:pt>
                <c:pt idx="58">
                  <c:v>1424.3</c:v>
                </c:pt>
                <c:pt idx="59">
                  <c:v>1646.2</c:v>
                </c:pt>
                <c:pt idx="60">
                  <c:v>1428.9</c:v>
                </c:pt>
                <c:pt idx="61">
                  <c:v>1978.1</c:v>
                </c:pt>
                <c:pt idx="62">
                  <c:v>1790.4</c:v>
                </c:pt>
                <c:pt idx="63">
                  <c:v>3646.5</c:v>
                </c:pt>
                <c:pt idx="64">
                  <c:v>3017.7</c:v>
                </c:pt>
                <c:pt idx="65">
                  <c:v>2194.3500000000022</c:v>
                </c:pt>
                <c:pt idx="66">
                  <c:v>1769.3</c:v>
                </c:pt>
                <c:pt idx="67">
                  <c:v>3352.5</c:v>
                </c:pt>
                <c:pt idx="68">
                  <c:v>2407.6</c:v>
                </c:pt>
              </c:numCache>
            </c:numRef>
          </c:yVal>
        </c:ser>
        <c:ser>
          <c:idx val="44"/>
          <c:order val="44"/>
          <c:tx>
            <c:v>o 1996</c:v>
          </c:tx>
          <c:spPr>
            <a:ln w="28575">
              <a:noFill/>
            </a:ln>
          </c:spPr>
          <c:marker>
            <c:symbol val="star"/>
            <c:size val="6"/>
            <c:spPr>
              <a:noFill/>
              <a:ln>
                <a:solidFill>
                  <a:srgbClr val="FF0000"/>
                </a:solidFill>
                <a:prstDash val="solid"/>
              </a:ln>
            </c:spPr>
          </c:marker>
          <c:xVal>
            <c:numRef>
              <c:f>Sheet2!$BJ$60:$BJ$128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12</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12</c:v>
                </c:pt>
                <c:pt idx="64">
                  <c:v>12</c:v>
                </c:pt>
                <c:pt idx="65">
                  <c:v>#N/A</c:v>
                </c:pt>
                <c:pt idx="66">
                  <c:v>#N/A</c:v>
                </c:pt>
                <c:pt idx="67">
                  <c:v>12</c:v>
                </c:pt>
                <c:pt idx="68">
                  <c:v>#N/A</c:v>
                </c:pt>
              </c:numCache>
            </c:numRef>
          </c:xVal>
          <c:yVal>
            <c:numRef>
              <c:f>Sheet2!$N$60:$N$128</c:f>
              <c:numCache>
                <c:formatCode>General</c:formatCode>
                <c:ptCount val="69"/>
                <c:pt idx="0">
                  <c:v>286.89999999999969</c:v>
                </c:pt>
                <c:pt idx="1">
                  <c:v>244.4</c:v>
                </c:pt>
                <c:pt idx="2">
                  <c:v>347.3</c:v>
                </c:pt>
                <c:pt idx="3">
                  <c:v>313</c:v>
                </c:pt>
                <c:pt idx="4">
                  <c:v>330.4</c:v>
                </c:pt>
                <c:pt idx="5">
                  <c:v>731.6</c:v>
                </c:pt>
                <c:pt idx="6">
                  <c:v>852.1</c:v>
                </c:pt>
                <c:pt idx="7">
                  <c:v>723.8</c:v>
                </c:pt>
                <c:pt idx="8">
                  <c:v>1055</c:v>
                </c:pt>
                <c:pt idx="9">
                  <c:v>721.5</c:v>
                </c:pt>
                <c:pt idx="10">
                  <c:v>868.6</c:v>
                </c:pt>
                <c:pt idx="11">
                  <c:v>481.8</c:v>
                </c:pt>
                <c:pt idx="12">
                  <c:v>710.9</c:v>
                </c:pt>
                <c:pt idx="13">
                  <c:v>621.4</c:v>
                </c:pt>
                <c:pt idx="14">
                  <c:v>464.1</c:v>
                </c:pt>
                <c:pt idx="15">
                  <c:v>860.2</c:v>
                </c:pt>
                <c:pt idx="16">
                  <c:v>756.4</c:v>
                </c:pt>
                <c:pt idx="17">
                  <c:v>1352.5</c:v>
                </c:pt>
                <c:pt idx="18">
                  <c:v>667.1</c:v>
                </c:pt>
                <c:pt idx="19">
                  <c:v>1344.2</c:v>
                </c:pt>
                <c:pt idx="20">
                  <c:v>579</c:v>
                </c:pt>
                <c:pt idx="21">
                  <c:v>742.3</c:v>
                </c:pt>
                <c:pt idx="22">
                  <c:v>841.9</c:v>
                </c:pt>
                <c:pt idx="23">
                  <c:v>1293</c:v>
                </c:pt>
                <c:pt idx="24">
                  <c:v>1392.9</c:v>
                </c:pt>
                <c:pt idx="25">
                  <c:v>828.5</c:v>
                </c:pt>
                <c:pt idx="26">
                  <c:v>1059.9000000000001</c:v>
                </c:pt>
                <c:pt idx="27">
                  <c:v>1233.0999999999999</c:v>
                </c:pt>
                <c:pt idx="28">
                  <c:v>1674.5</c:v>
                </c:pt>
                <c:pt idx="29">
                  <c:v>829.8</c:v>
                </c:pt>
                <c:pt idx="30">
                  <c:v>1796.4</c:v>
                </c:pt>
                <c:pt idx="31">
                  <c:v>1152</c:v>
                </c:pt>
                <c:pt idx="32">
                  <c:v>923.8</c:v>
                </c:pt>
                <c:pt idx="33">
                  <c:v>1100.5999999999999</c:v>
                </c:pt>
                <c:pt idx="34">
                  <c:v>1053.5</c:v>
                </c:pt>
                <c:pt idx="35">
                  <c:v>815.6</c:v>
                </c:pt>
                <c:pt idx="36">
                  <c:v>1130.2</c:v>
                </c:pt>
                <c:pt idx="37">
                  <c:v>970.8</c:v>
                </c:pt>
                <c:pt idx="38">
                  <c:v>3345.1</c:v>
                </c:pt>
                <c:pt idx="39">
                  <c:v>911.7</c:v>
                </c:pt>
                <c:pt idx="40">
                  <c:v>1326.8</c:v>
                </c:pt>
                <c:pt idx="41">
                  <c:v>758.5</c:v>
                </c:pt>
                <c:pt idx="42">
                  <c:v>1468.6</c:v>
                </c:pt>
                <c:pt idx="43">
                  <c:v>1414.5</c:v>
                </c:pt>
                <c:pt idx="44">
                  <c:v>1535</c:v>
                </c:pt>
                <c:pt idx="45">
                  <c:v>1087.8</c:v>
                </c:pt>
                <c:pt idx="46">
                  <c:v>804.4</c:v>
                </c:pt>
                <c:pt idx="47">
                  <c:v>977.4</c:v>
                </c:pt>
                <c:pt idx="48">
                  <c:v>1267.2</c:v>
                </c:pt>
                <c:pt idx="49">
                  <c:v>1981.2</c:v>
                </c:pt>
                <c:pt idx="50">
                  <c:v>1656.8</c:v>
                </c:pt>
                <c:pt idx="51">
                  <c:v>2350.9</c:v>
                </c:pt>
                <c:pt idx="52">
                  <c:v>1165.9000000000001</c:v>
                </c:pt>
                <c:pt idx="53">
                  <c:v>811.7</c:v>
                </c:pt>
                <c:pt idx="54">
                  <c:v>1970.1</c:v>
                </c:pt>
                <c:pt idx="55">
                  <c:v>1444.3</c:v>
                </c:pt>
                <c:pt idx="56">
                  <c:v>2469.8000000000002</c:v>
                </c:pt>
                <c:pt idx="57">
                  <c:v>952.6</c:v>
                </c:pt>
                <c:pt idx="58">
                  <c:v>1379.5</c:v>
                </c:pt>
                <c:pt idx="59">
                  <c:v>1538.4</c:v>
                </c:pt>
                <c:pt idx="60">
                  <c:v>1321</c:v>
                </c:pt>
                <c:pt idx="61">
                  <c:v>1882.8</c:v>
                </c:pt>
                <c:pt idx="62">
                  <c:v>1890.5</c:v>
                </c:pt>
                <c:pt idx="63">
                  <c:v>3316</c:v>
                </c:pt>
                <c:pt idx="64">
                  <c:v>2723</c:v>
                </c:pt>
                <c:pt idx="65">
                  <c:v>2194.8000000000002</c:v>
                </c:pt>
                <c:pt idx="66">
                  <c:v>1984.6</c:v>
                </c:pt>
                <c:pt idx="67">
                  <c:v>2727.8</c:v>
                </c:pt>
                <c:pt idx="68">
                  <c:v>2318.6</c:v>
                </c:pt>
              </c:numCache>
            </c:numRef>
          </c:yVal>
        </c:ser>
        <c:ser>
          <c:idx val="45"/>
          <c:order val="45"/>
          <c:tx>
            <c:v>o 1997</c:v>
          </c:tx>
          <c:spPr>
            <a:ln w="28575">
              <a:noFill/>
            </a:ln>
          </c:spPr>
          <c:marker>
            <c:symbol val="star"/>
            <c:size val="6"/>
            <c:spPr>
              <a:noFill/>
              <a:ln>
                <a:solidFill>
                  <a:srgbClr val="FF0000"/>
                </a:solidFill>
                <a:prstDash val="solid"/>
              </a:ln>
            </c:spPr>
          </c:marker>
          <c:xVal>
            <c:numRef>
              <c:f>Sheet2!$BK$60:$BK$128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13</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13</c:v>
                </c:pt>
                <c:pt idx="64">
                  <c:v>13</c:v>
                </c:pt>
                <c:pt idx="65">
                  <c:v>#N/A</c:v>
                </c:pt>
                <c:pt idx="66">
                  <c:v>#N/A</c:v>
                </c:pt>
                <c:pt idx="67">
                  <c:v>13</c:v>
                </c:pt>
                <c:pt idx="68">
                  <c:v>#N/A</c:v>
                </c:pt>
              </c:numCache>
            </c:numRef>
          </c:xVal>
          <c:yVal>
            <c:numRef>
              <c:f>Sheet2!$O$60:$O$128</c:f>
              <c:numCache>
                <c:formatCode>General</c:formatCode>
                <c:ptCount val="69"/>
                <c:pt idx="0">
                  <c:v>274.3</c:v>
                </c:pt>
                <c:pt idx="1">
                  <c:v>239.7</c:v>
                </c:pt>
                <c:pt idx="2">
                  <c:v>365.8</c:v>
                </c:pt>
                <c:pt idx="3">
                  <c:v>299.5</c:v>
                </c:pt>
                <c:pt idx="4">
                  <c:v>288.89999999999969</c:v>
                </c:pt>
                <c:pt idx="5">
                  <c:v>736.6</c:v>
                </c:pt>
                <c:pt idx="6">
                  <c:v>791.3</c:v>
                </c:pt>
                <c:pt idx="7">
                  <c:v>678.1</c:v>
                </c:pt>
                <c:pt idx="8">
                  <c:v>894.7</c:v>
                </c:pt>
                <c:pt idx="9">
                  <c:v>728.5</c:v>
                </c:pt>
                <c:pt idx="10">
                  <c:v>827.7</c:v>
                </c:pt>
                <c:pt idx="11">
                  <c:v>502.8</c:v>
                </c:pt>
                <c:pt idx="12">
                  <c:v>645.70000000000005</c:v>
                </c:pt>
                <c:pt idx="13">
                  <c:v>621.1</c:v>
                </c:pt>
                <c:pt idx="14">
                  <c:v>401.7</c:v>
                </c:pt>
                <c:pt idx="15">
                  <c:v>907.5</c:v>
                </c:pt>
                <c:pt idx="16">
                  <c:v>675.2</c:v>
                </c:pt>
                <c:pt idx="17">
                  <c:v>1385.4</c:v>
                </c:pt>
                <c:pt idx="18">
                  <c:v>622</c:v>
                </c:pt>
                <c:pt idx="19">
                  <c:v>1268.4000000000001</c:v>
                </c:pt>
                <c:pt idx="20">
                  <c:v>570</c:v>
                </c:pt>
                <c:pt idx="21">
                  <c:v>672.3</c:v>
                </c:pt>
                <c:pt idx="22">
                  <c:v>914.1</c:v>
                </c:pt>
                <c:pt idx="23">
                  <c:v>1008.2</c:v>
                </c:pt>
                <c:pt idx="24">
                  <c:v>1205</c:v>
                </c:pt>
                <c:pt idx="25">
                  <c:v>794.6</c:v>
                </c:pt>
                <c:pt idx="26">
                  <c:v>902.5</c:v>
                </c:pt>
                <c:pt idx="27">
                  <c:v>1112.2</c:v>
                </c:pt>
                <c:pt idx="28">
                  <c:v>1604.4</c:v>
                </c:pt>
                <c:pt idx="29">
                  <c:v>797.4</c:v>
                </c:pt>
                <c:pt idx="30">
                  <c:v>1596.5</c:v>
                </c:pt>
                <c:pt idx="31">
                  <c:v>944.5</c:v>
                </c:pt>
                <c:pt idx="32">
                  <c:v>884.9</c:v>
                </c:pt>
                <c:pt idx="33">
                  <c:v>1052.8</c:v>
                </c:pt>
                <c:pt idx="34">
                  <c:v>984.1</c:v>
                </c:pt>
                <c:pt idx="35">
                  <c:v>738.9</c:v>
                </c:pt>
                <c:pt idx="36">
                  <c:v>1073</c:v>
                </c:pt>
                <c:pt idx="37">
                  <c:v>933.5</c:v>
                </c:pt>
                <c:pt idx="38">
                  <c:v>2734.7</c:v>
                </c:pt>
                <c:pt idx="39">
                  <c:v>886.6</c:v>
                </c:pt>
                <c:pt idx="40">
                  <c:v>1133.5</c:v>
                </c:pt>
                <c:pt idx="41">
                  <c:v>833.4</c:v>
                </c:pt>
                <c:pt idx="42">
                  <c:v>1317.1</c:v>
                </c:pt>
                <c:pt idx="43">
                  <c:v>1343.3</c:v>
                </c:pt>
                <c:pt idx="44">
                  <c:v>1383.8</c:v>
                </c:pt>
                <c:pt idx="46">
                  <c:v>786.4</c:v>
                </c:pt>
                <c:pt idx="47">
                  <c:v>968.2</c:v>
                </c:pt>
                <c:pt idx="48">
                  <c:v>1174.5</c:v>
                </c:pt>
                <c:pt idx="49">
                  <c:v>1895.5</c:v>
                </c:pt>
                <c:pt idx="50">
                  <c:v>1420.8</c:v>
                </c:pt>
                <c:pt idx="51">
                  <c:v>2262.1</c:v>
                </c:pt>
                <c:pt idx="52">
                  <c:v>1204.3</c:v>
                </c:pt>
                <c:pt idx="53">
                  <c:v>823.1</c:v>
                </c:pt>
                <c:pt idx="54">
                  <c:v>2077.1999999999998</c:v>
                </c:pt>
                <c:pt idx="55">
                  <c:v>1284.5</c:v>
                </c:pt>
                <c:pt idx="56">
                  <c:v>2023.8</c:v>
                </c:pt>
                <c:pt idx="57">
                  <c:v>1053</c:v>
                </c:pt>
                <c:pt idx="58">
                  <c:v>1177.8</c:v>
                </c:pt>
                <c:pt idx="59">
                  <c:v>1458.6</c:v>
                </c:pt>
                <c:pt idx="60">
                  <c:v>1259.8</c:v>
                </c:pt>
                <c:pt idx="61">
                  <c:v>1850.1</c:v>
                </c:pt>
                <c:pt idx="62">
                  <c:v>1746.7</c:v>
                </c:pt>
                <c:pt idx="63">
                  <c:v>3048.5</c:v>
                </c:pt>
                <c:pt idx="64">
                  <c:v>2420.3000000000002</c:v>
                </c:pt>
                <c:pt idx="65">
                  <c:v>2184.5</c:v>
                </c:pt>
                <c:pt idx="66">
                  <c:v>1856.7</c:v>
                </c:pt>
                <c:pt idx="67">
                  <c:v>2542.5</c:v>
                </c:pt>
                <c:pt idx="68">
                  <c:v>2151.5</c:v>
                </c:pt>
              </c:numCache>
            </c:numRef>
          </c:yVal>
        </c:ser>
        <c:ser>
          <c:idx val="46"/>
          <c:order val="46"/>
          <c:tx>
            <c:v>o 1998</c:v>
          </c:tx>
          <c:spPr>
            <a:ln w="28575">
              <a:noFill/>
            </a:ln>
          </c:spPr>
          <c:marker>
            <c:symbol val="star"/>
            <c:size val="6"/>
            <c:spPr>
              <a:noFill/>
              <a:ln>
                <a:solidFill>
                  <a:srgbClr val="FF0000"/>
                </a:solidFill>
                <a:prstDash val="solid"/>
              </a:ln>
            </c:spPr>
          </c:marker>
          <c:xVal>
            <c:numRef>
              <c:f>Sheet2!$BL$60:$BL$128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14</c:v>
                </c:pt>
                <c:pt idx="64">
                  <c:v>14</c:v>
                </c:pt>
                <c:pt idx="65">
                  <c:v>#N/A</c:v>
                </c:pt>
                <c:pt idx="66">
                  <c:v>#N/A</c:v>
                </c:pt>
                <c:pt idx="67">
                  <c:v>14</c:v>
                </c:pt>
                <c:pt idx="68">
                  <c:v>14</c:v>
                </c:pt>
              </c:numCache>
            </c:numRef>
          </c:xVal>
          <c:yVal>
            <c:numRef>
              <c:f>Sheet2!$P$60:$P$128</c:f>
              <c:numCache>
                <c:formatCode>General</c:formatCode>
                <c:ptCount val="69"/>
                <c:pt idx="0">
                  <c:v>410.5</c:v>
                </c:pt>
                <c:pt idx="1">
                  <c:v>227</c:v>
                </c:pt>
                <c:pt idx="2">
                  <c:v>392.2</c:v>
                </c:pt>
                <c:pt idx="3">
                  <c:v>267.7</c:v>
                </c:pt>
                <c:pt idx="4">
                  <c:v>222.3</c:v>
                </c:pt>
                <c:pt idx="5">
                  <c:v>599.29999999999995</c:v>
                </c:pt>
                <c:pt idx="6">
                  <c:v>700.4</c:v>
                </c:pt>
                <c:pt idx="7">
                  <c:v>508.3</c:v>
                </c:pt>
                <c:pt idx="8">
                  <c:v>614.9</c:v>
                </c:pt>
                <c:pt idx="9">
                  <c:v>661.8</c:v>
                </c:pt>
                <c:pt idx="10">
                  <c:v>725.2</c:v>
                </c:pt>
                <c:pt idx="11">
                  <c:v>539.79999999999995</c:v>
                </c:pt>
                <c:pt idx="12">
                  <c:v>540.6</c:v>
                </c:pt>
                <c:pt idx="13">
                  <c:v>570</c:v>
                </c:pt>
                <c:pt idx="14">
                  <c:v>451.4</c:v>
                </c:pt>
                <c:pt idx="15">
                  <c:v>826.3</c:v>
                </c:pt>
                <c:pt idx="16">
                  <c:v>553.5</c:v>
                </c:pt>
                <c:pt idx="17">
                  <c:v>1314.6</c:v>
                </c:pt>
                <c:pt idx="18">
                  <c:v>559.4</c:v>
                </c:pt>
                <c:pt idx="19">
                  <c:v>1167.4000000000001</c:v>
                </c:pt>
                <c:pt idx="20">
                  <c:v>483.9</c:v>
                </c:pt>
                <c:pt idx="21">
                  <c:v>572.5</c:v>
                </c:pt>
                <c:pt idx="22">
                  <c:v>831.6</c:v>
                </c:pt>
                <c:pt idx="23">
                  <c:v>849.5</c:v>
                </c:pt>
                <c:pt idx="24">
                  <c:v>1052.2</c:v>
                </c:pt>
                <c:pt idx="25">
                  <c:v>734.3</c:v>
                </c:pt>
                <c:pt idx="26">
                  <c:v>869.6</c:v>
                </c:pt>
                <c:pt idx="27">
                  <c:v>942.9</c:v>
                </c:pt>
                <c:pt idx="28">
                  <c:v>1372.1</c:v>
                </c:pt>
                <c:pt idx="29">
                  <c:v>607.6</c:v>
                </c:pt>
                <c:pt idx="30">
                  <c:v>1358.5</c:v>
                </c:pt>
                <c:pt idx="31">
                  <c:v>859.7</c:v>
                </c:pt>
                <c:pt idx="32">
                  <c:v>832.3</c:v>
                </c:pt>
                <c:pt idx="33">
                  <c:v>1033.5999999999999</c:v>
                </c:pt>
                <c:pt idx="34">
                  <c:v>729.1</c:v>
                </c:pt>
                <c:pt idx="35">
                  <c:v>641.9</c:v>
                </c:pt>
                <c:pt idx="36">
                  <c:v>995.6</c:v>
                </c:pt>
                <c:pt idx="37">
                  <c:v>816.8</c:v>
                </c:pt>
                <c:pt idx="38">
                  <c:v>2093.9</c:v>
                </c:pt>
                <c:pt idx="39">
                  <c:v>909</c:v>
                </c:pt>
                <c:pt idx="40">
                  <c:v>989.7</c:v>
                </c:pt>
                <c:pt idx="41">
                  <c:v>665.3</c:v>
                </c:pt>
                <c:pt idx="42">
                  <c:v>1316.9</c:v>
                </c:pt>
                <c:pt idx="43">
                  <c:v>1153.5999999999999</c:v>
                </c:pt>
                <c:pt idx="44">
                  <c:v>1465.4</c:v>
                </c:pt>
                <c:pt idx="46">
                  <c:v>891</c:v>
                </c:pt>
                <c:pt idx="47">
                  <c:v>877.6</c:v>
                </c:pt>
                <c:pt idx="48">
                  <c:v>1123.0999999999999</c:v>
                </c:pt>
                <c:pt idx="49">
                  <c:v>1867.6</c:v>
                </c:pt>
                <c:pt idx="50">
                  <c:v>1327.1</c:v>
                </c:pt>
                <c:pt idx="51">
                  <c:v>2178.5</c:v>
                </c:pt>
                <c:pt idx="52">
                  <c:v>1131.4000000000001</c:v>
                </c:pt>
                <c:pt idx="53">
                  <c:v>905.2</c:v>
                </c:pt>
                <c:pt idx="54">
                  <c:v>1135.2</c:v>
                </c:pt>
                <c:pt idx="55">
                  <c:v>1129.0999999999999</c:v>
                </c:pt>
                <c:pt idx="56">
                  <c:v>1718.5</c:v>
                </c:pt>
                <c:pt idx="57">
                  <c:v>1002</c:v>
                </c:pt>
                <c:pt idx="58">
                  <c:v>1129.2</c:v>
                </c:pt>
                <c:pt idx="59">
                  <c:v>1307.9000000000001</c:v>
                </c:pt>
                <c:pt idx="60">
                  <c:v>1464.4</c:v>
                </c:pt>
                <c:pt idx="61">
                  <c:v>1525.4</c:v>
                </c:pt>
                <c:pt idx="62">
                  <c:v>1631.3</c:v>
                </c:pt>
                <c:pt idx="63">
                  <c:v>3047.3</c:v>
                </c:pt>
                <c:pt idx="64">
                  <c:v>2419.8000000000002</c:v>
                </c:pt>
                <c:pt idx="65">
                  <c:v>1862</c:v>
                </c:pt>
                <c:pt idx="66">
                  <c:v>1498.9</c:v>
                </c:pt>
                <c:pt idx="67">
                  <c:v>2570.9</c:v>
                </c:pt>
                <c:pt idx="68">
                  <c:v>2442.8000000000002</c:v>
                </c:pt>
              </c:numCache>
            </c:numRef>
          </c:yVal>
        </c:ser>
        <c:ser>
          <c:idx val="47"/>
          <c:order val="47"/>
          <c:tx>
            <c:v>o 1999</c:v>
          </c:tx>
          <c:spPr>
            <a:ln w="28575">
              <a:noFill/>
            </a:ln>
          </c:spPr>
          <c:marker>
            <c:symbol val="star"/>
            <c:size val="6"/>
            <c:spPr>
              <a:noFill/>
              <a:ln>
                <a:solidFill>
                  <a:srgbClr val="FF0000"/>
                </a:solidFill>
                <a:prstDash val="solid"/>
              </a:ln>
            </c:spPr>
          </c:marker>
          <c:xVal>
            <c:numRef>
              <c:f>Sheet2!$BM$60:$BM$128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15</c:v>
                </c:pt>
                <c:pt idx="64">
                  <c:v>15</c:v>
                </c:pt>
                <c:pt idx="65">
                  <c:v>#N/A</c:v>
                </c:pt>
                <c:pt idx="66">
                  <c:v>#N/A</c:v>
                </c:pt>
                <c:pt idx="67">
                  <c:v>15</c:v>
                </c:pt>
                <c:pt idx="68">
                  <c:v>15</c:v>
                </c:pt>
              </c:numCache>
            </c:numRef>
          </c:xVal>
          <c:yVal>
            <c:numRef>
              <c:f>Sheet2!$Q$60:$Q$128</c:f>
              <c:numCache>
                <c:formatCode>General</c:formatCode>
                <c:ptCount val="69"/>
                <c:pt idx="0">
                  <c:v>320.5</c:v>
                </c:pt>
                <c:pt idx="1">
                  <c:v>238.5</c:v>
                </c:pt>
                <c:pt idx="2">
                  <c:v>356.6</c:v>
                </c:pt>
                <c:pt idx="3">
                  <c:v>253.6</c:v>
                </c:pt>
                <c:pt idx="4">
                  <c:v>219.4</c:v>
                </c:pt>
                <c:pt idx="5">
                  <c:v>580.9</c:v>
                </c:pt>
                <c:pt idx="6">
                  <c:v>686</c:v>
                </c:pt>
                <c:pt idx="7">
                  <c:v>547.29999999999995</c:v>
                </c:pt>
                <c:pt idx="8">
                  <c:v>529.5</c:v>
                </c:pt>
                <c:pt idx="9">
                  <c:v>578.5</c:v>
                </c:pt>
                <c:pt idx="10">
                  <c:v>598.4</c:v>
                </c:pt>
                <c:pt idx="11">
                  <c:v>525</c:v>
                </c:pt>
                <c:pt idx="12">
                  <c:v>497.9</c:v>
                </c:pt>
                <c:pt idx="13">
                  <c:v>568.1</c:v>
                </c:pt>
                <c:pt idx="14">
                  <c:v>561</c:v>
                </c:pt>
                <c:pt idx="15">
                  <c:v>772.2</c:v>
                </c:pt>
                <c:pt idx="16">
                  <c:v>588.79999999999995</c:v>
                </c:pt>
                <c:pt idx="17">
                  <c:v>1238.8</c:v>
                </c:pt>
                <c:pt idx="18">
                  <c:v>619.1</c:v>
                </c:pt>
                <c:pt idx="19">
                  <c:v>1062.5999999999999</c:v>
                </c:pt>
                <c:pt idx="20">
                  <c:v>402.6</c:v>
                </c:pt>
                <c:pt idx="21">
                  <c:v>570.79999999999995</c:v>
                </c:pt>
                <c:pt idx="22">
                  <c:v>767.3</c:v>
                </c:pt>
                <c:pt idx="23">
                  <c:v>776</c:v>
                </c:pt>
                <c:pt idx="24">
                  <c:v>992.2</c:v>
                </c:pt>
                <c:pt idx="25">
                  <c:v>786.5</c:v>
                </c:pt>
                <c:pt idx="26">
                  <c:v>851.1</c:v>
                </c:pt>
                <c:pt idx="27">
                  <c:v>862.9</c:v>
                </c:pt>
                <c:pt idx="28">
                  <c:v>1236.5999999999999</c:v>
                </c:pt>
                <c:pt idx="29">
                  <c:v>627.5</c:v>
                </c:pt>
                <c:pt idx="30">
                  <c:v>1283.2</c:v>
                </c:pt>
                <c:pt idx="31">
                  <c:v>744.9</c:v>
                </c:pt>
                <c:pt idx="32">
                  <c:v>832</c:v>
                </c:pt>
                <c:pt idx="33">
                  <c:v>913.9</c:v>
                </c:pt>
                <c:pt idx="34">
                  <c:v>870.4</c:v>
                </c:pt>
                <c:pt idx="35">
                  <c:v>652.9</c:v>
                </c:pt>
                <c:pt idx="36">
                  <c:v>859.3</c:v>
                </c:pt>
                <c:pt idx="37">
                  <c:v>854.6</c:v>
                </c:pt>
                <c:pt idx="38">
                  <c:v>1813.7</c:v>
                </c:pt>
                <c:pt idx="39">
                  <c:v>849.2</c:v>
                </c:pt>
                <c:pt idx="40">
                  <c:v>866.3</c:v>
                </c:pt>
                <c:pt idx="41">
                  <c:v>579.9</c:v>
                </c:pt>
                <c:pt idx="42">
                  <c:v>1250.7</c:v>
                </c:pt>
                <c:pt idx="43">
                  <c:v>1034.2</c:v>
                </c:pt>
                <c:pt idx="44">
                  <c:v>1414.3</c:v>
                </c:pt>
                <c:pt idx="45">
                  <c:v>737.4</c:v>
                </c:pt>
                <c:pt idx="46">
                  <c:v>877.6</c:v>
                </c:pt>
                <c:pt idx="47">
                  <c:v>752</c:v>
                </c:pt>
                <c:pt idx="48">
                  <c:v>1187.3</c:v>
                </c:pt>
                <c:pt idx="49">
                  <c:v>1749.1</c:v>
                </c:pt>
                <c:pt idx="50">
                  <c:v>1302.0999999999999</c:v>
                </c:pt>
                <c:pt idx="51">
                  <c:v>1732.6</c:v>
                </c:pt>
                <c:pt idx="52">
                  <c:v>1162.0999999999999</c:v>
                </c:pt>
                <c:pt idx="53">
                  <c:v>688.4</c:v>
                </c:pt>
                <c:pt idx="54">
                  <c:v>1016.2</c:v>
                </c:pt>
                <c:pt idx="55">
                  <c:v>1077.2</c:v>
                </c:pt>
                <c:pt idx="56">
                  <c:v>1627.7</c:v>
                </c:pt>
                <c:pt idx="57">
                  <c:v>1043.4000000000001</c:v>
                </c:pt>
                <c:pt idx="58">
                  <c:v>1152.4000000000001</c:v>
                </c:pt>
                <c:pt idx="59">
                  <c:v>1215.3</c:v>
                </c:pt>
                <c:pt idx="60">
                  <c:v>1604.5</c:v>
                </c:pt>
                <c:pt idx="61">
                  <c:v>1388.7</c:v>
                </c:pt>
                <c:pt idx="62">
                  <c:v>1607.3</c:v>
                </c:pt>
                <c:pt idx="63">
                  <c:v>2729.5</c:v>
                </c:pt>
                <c:pt idx="64">
                  <c:v>2438.6999999999998</c:v>
                </c:pt>
                <c:pt idx="65">
                  <c:v>1550</c:v>
                </c:pt>
                <c:pt idx="66">
                  <c:v>1410.5</c:v>
                </c:pt>
                <c:pt idx="67">
                  <c:v>2233</c:v>
                </c:pt>
                <c:pt idx="68">
                  <c:v>2253.9</c:v>
                </c:pt>
              </c:numCache>
            </c:numRef>
          </c:yVal>
        </c:ser>
        <c:ser>
          <c:idx val="48"/>
          <c:order val="48"/>
          <c:tx>
            <c:v>o 2000</c:v>
          </c:tx>
          <c:spPr>
            <a:ln w="28575">
              <a:noFill/>
            </a:ln>
          </c:spPr>
          <c:marker>
            <c:symbol val="star"/>
            <c:size val="6"/>
            <c:spPr>
              <a:noFill/>
              <a:ln>
                <a:solidFill>
                  <a:srgbClr val="FF0000"/>
                </a:solidFill>
                <a:prstDash val="solid"/>
              </a:ln>
            </c:spPr>
          </c:marker>
          <c:xVal>
            <c:numRef>
              <c:f>Sheet2!$BN$60:$BN$128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16</c:v>
                </c:pt>
                <c:pt idx="64">
                  <c:v>16</c:v>
                </c:pt>
                <c:pt idx="65">
                  <c:v>#N/A</c:v>
                </c:pt>
                <c:pt idx="66">
                  <c:v>#N/A</c:v>
                </c:pt>
                <c:pt idx="67">
                  <c:v>16</c:v>
                </c:pt>
                <c:pt idx="68">
                  <c:v>16</c:v>
                </c:pt>
              </c:numCache>
            </c:numRef>
          </c:xVal>
          <c:yVal>
            <c:numRef>
              <c:f>Sheet2!$R$60:$R$128</c:f>
              <c:numCache>
                <c:formatCode>General</c:formatCode>
                <c:ptCount val="69"/>
                <c:pt idx="0">
                  <c:v>265.10000000000002</c:v>
                </c:pt>
                <c:pt idx="1">
                  <c:v>221.7</c:v>
                </c:pt>
                <c:pt idx="2">
                  <c:v>280.60000000000002</c:v>
                </c:pt>
                <c:pt idx="3">
                  <c:v>262.7</c:v>
                </c:pt>
                <c:pt idx="4">
                  <c:v>252</c:v>
                </c:pt>
                <c:pt idx="5">
                  <c:v>550.6</c:v>
                </c:pt>
                <c:pt idx="6">
                  <c:v>779.9</c:v>
                </c:pt>
                <c:pt idx="7">
                  <c:v>430.8</c:v>
                </c:pt>
                <c:pt idx="8">
                  <c:v>587.20000000000005</c:v>
                </c:pt>
                <c:pt idx="9">
                  <c:v>603.70000000000005</c:v>
                </c:pt>
                <c:pt idx="10">
                  <c:v>585.29999999999995</c:v>
                </c:pt>
                <c:pt idx="11">
                  <c:v>455</c:v>
                </c:pt>
                <c:pt idx="12">
                  <c:v>471.9</c:v>
                </c:pt>
                <c:pt idx="13">
                  <c:v>547.4</c:v>
                </c:pt>
                <c:pt idx="14">
                  <c:v>690.9</c:v>
                </c:pt>
                <c:pt idx="15">
                  <c:v>742.1</c:v>
                </c:pt>
                <c:pt idx="16">
                  <c:v>541.20000000000005</c:v>
                </c:pt>
                <c:pt idx="17">
                  <c:v>811.3</c:v>
                </c:pt>
                <c:pt idx="18">
                  <c:v>597.79999999999995</c:v>
                </c:pt>
                <c:pt idx="19">
                  <c:v>945.2</c:v>
                </c:pt>
                <c:pt idx="20">
                  <c:v>289.8</c:v>
                </c:pt>
                <c:pt idx="21">
                  <c:v>520.20000000000005</c:v>
                </c:pt>
                <c:pt idx="22">
                  <c:v>769.1</c:v>
                </c:pt>
                <c:pt idx="23">
                  <c:v>786.2</c:v>
                </c:pt>
                <c:pt idx="24">
                  <c:v>898.6</c:v>
                </c:pt>
                <c:pt idx="25">
                  <c:v>724.7</c:v>
                </c:pt>
                <c:pt idx="26">
                  <c:v>713.7</c:v>
                </c:pt>
                <c:pt idx="27">
                  <c:v>795.8</c:v>
                </c:pt>
                <c:pt idx="28">
                  <c:v>1076.9000000000001</c:v>
                </c:pt>
                <c:pt idx="29">
                  <c:v>647.79999999999995</c:v>
                </c:pt>
                <c:pt idx="30">
                  <c:v>1359.8</c:v>
                </c:pt>
                <c:pt idx="31">
                  <c:v>696.8</c:v>
                </c:pt>
                <c:pt idx="32">
                  <c:v>738.4</c:v>
                </c:pt>
                <c:pt idx="33">
                  <c:v>933.2</c:v>
                </c:pt>
                <c:pt idx="34">
                  <c:v>758.3</c:v>
                </c:pt>
                <c:pt idx="35">
                  <c:v>585.5</c:v>
                </c:pt>
                <c:pt idx="36">
                  <c:v>780.6</c:v>
                </c:pt>
                <c:pt idx="37">
                  <c:v>843</c:v>
                </c:pt>
                <c:pt idx="38">
                  <c:v>1495.9</c:v>
                </c:pt>
                <c:pt idx="39">
                  <c:v>833.4</c:v>
                </c:pt>
                <c:pt idx="40">
                  <c:v>836.7</c:v>
                </c:pt>
                <c:pt idx="41">
                  <c:v>604.4</c:v>
                </c:pt>
                <c:pt idx="42">
                  <c:v>1144.9000000000001</c:v>
                </c:pt>
                <c:pt idx="43">
                  <c:v>1115.7</c:v>
                </c:pt>
                <c:pt idx="44">
                  <c:v>1349.7</c:v>
                </c:pt>
                <c:pt idx="45">
                  <c:v>840.1</c:v>
                </c:pt>
                <c:pt idx="46">
                  <c:v>957.4</c:v>
                </c:pt>
                <c:pt idx="47">
                  <c:v>765.8</c:v>
                </c:pt>
                <c:pt idx="48">
                  <c:v>1100.0999999999999</c:v>
                </c:pt>
                <c:pt idx="49">
                  <c:v>1626.3</c:v>
                </c:pt>
                <c:pt idx="50">
                  <c:v>1242.8</c:v>
                </c:pt>
                <c:pt idx="51">
                  <c:v>1606.4</c:v>
                </c:pt>
                <c:pt idx="52">
                  <c:v>1122.3</c:v>
                </c:pt>
                <c:pt idx="53">
                  <c:v>758.9</c:v>
                </c:pt>
                <c:pt idx="54">
                  <c:v>862.1</c:v>
                </c:pt>
                <c:pt idx="55">
                  <c:v>1249.5999999999999</c:v>
                </c:pt>
                <c:pt idx="56">
                  <c:v>1507.2</c:v>
                </c:pt>
                <c:pt idx="57">
                  <c:v>956.7</c:v>
                </c:pt>
                <c:pt idx="58">
                  <c:v>1219.2</c:v>
                </c:pt>
                <c:pt idx="59">
                  <c:v>1262.7</c:v>
                </c:pt>
                <c:pt idx="60">
                  <c:v>1503.2</c:v>
                </c:pt>
                <c:pt idx="61">
                  <c:v>1151</c:v>
                </c:pt>
                <c:pt idx="62">
                  <c:v>1623</c:v>
                </c:pt>
                <c:pt idx="63">
                  <c:v>2781.2</c:v>
                </c:pt>
                <c:pt idx="64">
                  <c:v>2457.6</c:v>
                </c:pt>
                <c:pt idx="65">
                  <c:v>1261.0999999999999</c:v>
                </c:pt>
                <c:pt idx="66">
                  <c:v>1479.2</c:v>
                </c:pt>
                <c:pt idx="67">
                  <c:v>2279.1999999999998</c:v>
                </c:pt>
                <c:pt idx="68">
                  <c:v>2324.5</c:v>
                </c:pt>
              </c:numCache>
            </c:numRef>
          </c:yVal>
        </c:ser>
        <c:ser>
          <c:idx val="50"/>
          <c:order val="49"/>
          <c:tx>
            <c:v>o 2002</c:v>
          </c:tx>
          <c:spPr>
            <a:ln w="28575">
              <a:noFill/>
            </a:ln>
          </c:spPr>
          <c:marker>
            <c:symbol val="star"/>
            <c:size val="6"/>
            <c:spPr>
              <a:noFill/>
              <a:ln>
                <a:solidFill>
                  <a:srgbClr val="FF0000"/>
                </a:solidFill>
                <a:prstDash val="solid"/>
              </a:ln>
            </c:spPr>
          </c:marker>
          <c:xVal>
            <c:numRef>
              <c:f>Sheet2!$BP$60:$BP$128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18</c:v>
                </c:pt>
                <c:pt idx="64">
                  <c:v>#N/A</c:v>
                </c:pt>
                <c:pt idx="65">
                  <c:v>#N/A</c:v>
                </c:pt>
                <c:pt idx="66">
                  <c:v>#N/A</c:v>
                </c:pt>
                <c:pt idx="67">
                  <c:v>18</c:v>
                </c:pt>
                <c:pt idx="68">
                  <c:v>#N/A</c:v>
                </c:pt>
              </c:numCache>
            </c:numRef>
          </c:xVal>
          <c:yVal>
            <c:numRef>
              <c:f>Sheet2!$T$60:$T$128</c:f>
              <c:numCache>
                <c:formatCode>General</c:formatCode>
                <c:ptCount val="69"/>
                <c:pt idx="0">
                  <c:v>238</c:v>
                </c:pt>
                <c:pt idx="1">
                  <c:v>219.1</c:v>
                </c:pt>
                <c:pt idx="2">
                  <c:v>288.5</c:v>
                </c:pt>
                <c:pt idx="3">
                  <c:v>288.89999999999969</c:v>
                </c:pt>
                <c:pt idx="4">
                  <c:v>276.39999999999969</c:v>
                </c:pt>
                <c:pt idx="5">
                  <c:v>445.6</c:v>
                </c:pt>
                <c:pt idx="6">
                  <c:v>661.1</c:v>
                </c:pt>
                <c:pt idx="7">
                  <c:v>408.5</c:v>
                </c:pt>
                <c:pt idx="8">
                  <c:v>536.4</c:v>
                </c:pt>
                <c:pt idx="9">
                  <c:v>684.9</c:v>
                </c:pt>
                <c:pt idx="10">
                  <c:v>567.1</c:v>
                </c:pt>
                <c:pt idx="11">
                  <c:v>507.8</c:v>
                </c:pt>
                <c:pt idx="12">
                  <c:v>467.1</c:v>
                </c:pt>
                <c:pt idx="13">
                  <c:v>630.9</c:v>
                </c:pt>
                <c:pt idx="14">
                  <c:v>817.1</c:v>
                </c:pt>
                <c:pt idx="15">
                  <c:v>688.9</c:v>
                </c:pt>
                <c:pt idx="16">
                  <c:v>550.79999999999995</c:v>
                </c:pt>
                <c:pt idx="17">
                  <c:v>717.9</c:v>
                </c:pt>
                <c:pt idx="18">
                  <c:v>581.4</c:v>
                </c:pt>
                <c:pt idx="19">
                  <c:v>789.6</c:v>
                </c:pt>
                <c:pt idx="20">
                  <c:v>418.1</c:v>
                </c:pt>
                <c:pt idx="21">
                  <c:v>534.20000000000005</c:v>
                </c:pt>
                <c:pt idx="22">
                  <c:v>705.4</c:v>
                </c:pt>
                <c:pt idx="23">
                  <c:v>765.9</c:v>
                </c:pt>
                <c:pt idx="24">
                  <c:v>852.6</c:v>
                </c:pt>
                <c:pt idx="25">
                  <c:v>541.70000000000005</c:v>
                </c:pt>
                <c:pt idx="26">
                  <c:v>759.7</c:v>
                </c:pt>
                <c:pt idx="27">
                  <c:v>785.1</c:v>
                </c:pt>
                <c:pt idx="28">
                  <c:v>828.5</c:v>
                </c:pt>
                <c:pt idx="29">
                  <c:v>633.1</c:v>
                </c:pt>
                <c:pt idx="30">
                  <c:v>1349.5</c:v>
                </c:pt>
                <c:pt idx="31">
                  <c:v>757.8</c:v>
                </c:pt>
                <c:pt idx="32">
                  <c:v>727.6</c:v>
                </c:pt>
                <c:pt idx="33">
                  <c:v>909.8</c:v>
                </c:pt>
                <c:pt idx="34">
                  <c:v>711.9</c:v>
                </c:pt>
                <c:pt idx="35">
                  <c:v>643.9</c:v>
                </c:pt>
                <c:pt idx="36">
                  <c:v>822.3</c:v>
                </c:pt>
                <c:pt idx="37">
                  <c:v>908</c:v>
                </c:pt>
                <c:pt idx="38">
                  <c:v>1143.3</c:v>
                </c:pt>
                <c:pt idx="39">
                  <c:v>805.1</c:v>
                </c:pt>
                <c:pt idx="40">
                  <c:v>752.4</c:v>
                </c:pt>
                <c:pt idx="41">
                  <c:v>680.8</c:v>
                </c:pt>
                <c:pt idx="42">
                  <c:v>1068.7</c:v>
                </c:pt>
                <c:pt idx="43">
                  <c:v>915.6</c:v>
                </c:pt>
                <c:pt idx="44">
                  <c:v>1370.8</c:v>
                </c:pt>
                <c:pt idx="45">
                  <c:v>1275.2</c:v>
                </c:pt>
                <c:pt idx="46">
                  <c:v>1107.5999999999999</c:v>
                </c:pt>
                <c:pt idx="47">
                  <c:v>840.6</c:v>
                </c:pt>
                <c:pt idx="48">
                  <c:v>1223.0999999999999</c:v>
                </c:pt>
                <c:pt idx="49">
                  <c:v>1352.4</c:v>
                </c:pt>
                <c:pt idx="50">
                  <c:v>1166.2</c:v>
                </c:pt>
                <c:pt idx="51">
                  <c:v>1498.2</c:v>
                </c:pt>
                <c:pt idx="52">
                  <c:v>1086.3</c:v>
                </c:pt>
                <c:pt idx="53">
                  <c:v>1008.9</c:v>
                </c:pt>
                <c:pt idx="54">
                  <c:v>935</c:v>
                </c:pt>
                <c:pt idx="55">
                  <c:v>1271.7</c:v>
                </c:pt>
                <c:pt idx="56">
                  <c:v>1595.6</c:v>
                </c:pt>
                <c:pt idx="57">
                  <c:v>954.8</c:v>
                </c:pt>
                <c:pt idx="58">
                  <c:v>1461.3</c:v>
                </c:pt>
                <c:pt idx="59">
                  <c:v>1322.3</c:v>
                </c:pt>
                <c:pt idx="60">
                  <c:v>1315.9</c:v>
                </c:pt>
                <c:pt idx="61">
                  <c:v>1056.0999999999999</c:v>
                </c:pt>
                <c:pt idx="62">
                  <c:v>1549.1</c:v>
                </c:pt>
                <c:pt idx="63">
                  <c:v>2289.1</c:v>
                </c:pt>
                <c:pt idx="64">
                  <c:v>2054.9</c:v>
                </c:pt>
                <c:pt idx="65">
                  <c:v>1366.9</c:v>
                </c:pt>
                <c:pt idx="66">
                  <c:v>1572.4</c:v>
                </c:pt>
                <c:pt idx="67">
                  <c:v>2124.3000000000002</c:v>
                </c:pt>
                <c:pt idx="68">
                  <c:v>2072.8000000000002</c:v>
                </c:pt>
              </c:numCache>
            </c:numRef>
          </c:yVal>
        </c:ser>
        <c:ser>
          <c:idx val="51"/>
          <c:order val="50"/>
          <c:tx>
            <c:v>o 2003</c:v>
          </c:tx>
          <c:spPr>
            <a:ln w="28575">
              <a:noFill/>
            </a:ln>
          </c:spPr>
          <c:marker>
            <c:symbol val="star"/>
            <c:size val="6"/>
            <c:spPr>
              <a:noFill/>
              <a:ln>
                <a:solidFill>
                  <a:srgbClr val="FF0000"/>
                </a:solidFill>
                <a:prstDash val="solid"/>
              </a:ln>
            </c:spPr>
          </c:marker>
          <c:xVal>
            <c:numRef>
              <c:f>Sheet2!$BQ$60:$BQ$128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19</c:v>
                </c:pt>
                <c:pt idx="68">
                  <c:v>#N/A</c:v>
                </c:pt>
              </c:numCache>
            </c:numRef>
          </c:xVal>
          <c:yVal>
            <c:numRef>
              <c:f>Sheet2!$U$60:$U$128</c:f>
              <c:numCache>
                <c:formatCode>General</c:formatCode>
                <c:ptCount val="69"/>
                <c:pt idx="0">
                  <c:v>230</c:v>
                </c:pt>
                <c:pt idx="1">
                  <c:v>212.1</c:v>
                </c:pt>
                <c:pt idx="2">
                  <c:v>293.2</c:v>
                </c:pt>
                <c:pt idx="3">
                  <c:v>287.89999999999969</c:v>
                </c:pt>
                <c:pt idx="4">
                  <c:v>302</c:v>
                </c:pt>
                <c:pt idx="5">
                  <c:v>371.3</c:v>
                </c:pt>
                <c:pt idx="6">
                  <c:v>597.20000000000005</c:v>
                </c:pt>
                <c:pt idx="7">
                  <c:v>392.4</c:v>
                </c:pt>
                <c:pt idx="8">
                  <c:v>517.20000000000005</c:v>
                </c:pt>
                <c:pt idx="9">
                  <c:v>537.4</c:v>
                </c:pt>
                <c:pt idx="10">
                  <c:v>578.70000000000005</c:v>
                </c:pt>
                <c:pt idx="11">
                  <c:v>462.4</c:v>
                </c:pt>
                <c:pt idx="12">
                  <c:v>462.1</c:v>
                </c:pt>
                <c:pt idx="13">
                  <c:v>588.6</c:v>
                </c:pt>
                <c:pt idx="14">
                  <c:v>598</c:v>
                </c:pt>
                <c:pt idx="15">
                  <c:v>646.1</c:v>
                </c:pt>
                <c:pt idx="16">
                  <c:v>515.29999999999995</c:v>
                </c:pt>
                <c:pt idx="17">
                  <c:v>654</c:v>
                </c:pt>
                <c:pt idx="18">
                  <c:v>538.5</c:v>
                </c:pt>
                <c:pt idx="19">
                  <c:v>734.1</c:v>
                </c:pt>
                <c:pt idx="20">
                  <c:v>574.1</c:v>
                </c:pt>
                <c:pt idx="21">
                  <c:v>624</c:v>
                </c:pt>
                <c:pt idx="22">
                  <c:v>684.4</c:v>
                </c:pt>
                <c:pt idx="23">
                  <c:v>691.4</c:v>
                </c:pt>
                <c:pt idx="24">
                  <c:v>779.1</c:v>
                </c:pt>
                <c:pt idx="25">
                  <c:v>468.3</c:v>
                </c:pt>
                <c:pt idx="26">
                  <c:v>650.79999999999995</c:v>
                </c:pt>
                <c:pt idx="27">
                  <c:v>655.1</c:v>
                </c:pt>
                <c:pt idx="28">
                  <c:v>813.5</c:v>
                </c:pt>
                <c:pt idx="29">
                  <c:v>524.20000000000005</c:v>
                </c:pt>
                <c:pt idx="30">
                  <c:v>1271.8</c:v>
                </c:pt>
                <c:pt idx="31">
                  <c:v>749.7</c:v>
                </c:pt>
                <c:pt idx="32">
                  <c:v>692.8</c:v>
                </c:pt>
                <c:pt idx="33">
                  <c:v>915</c:v>
                </c:pt>
                <c:pt idx="34">
                  <c:v>870.4</c:v>
                </c:pt>
                <c:pt idx="35">
                  <c:v>643.29999999999995</c:v>
                </c:pt>
                <c:pt idx="36">
                  <c:v>889.8</c:v>
                </c:pt>
                <c:pt idx="37">
                  <c:v>855.9</c:v>
                </c:pt>
                <c:pt idx="38">
                  <c:v>980.4</c:v>
                </c:pt>
                <c:pt idx="39">
                  <c:v>760.8</c:v>
                </c:pt>
                <c:pt idx="40">
                  <c:v>741.5</c:v>
                </c:pt>
                <c:pt idx="41">
                  <c:v>625.9</c:v>
                </c:pt>
                <c:pt idx="42">
                  <c:v>947</c:v>
                </c:pt>
                <c:pt idx="43">
                  <c:v>866.7</c:v>
                </c:pt>
                <c:pt idx="44">
                  <c:v>1370.8</c:v>
                </c:pt>
                <c:pt idx="45">
                  <c:v>1127.4000000000001</c:v>
                </c:pt>
                <c:pt idx="46">
                  <c:v>1061.4000000000001</c:v>
                </c:pt>
                <c:pt idx="47">
                  <c:v>777.6</c:v>
                </c:pt>
                <c:pt idx="48">
                  <c:v>1175.3</c:v>
                </c:pt>
                <c:pt idx="49">
                  <c:v>1379.3</c:v>
                </c:pt>
                <c:pt idx="50">
                  <c:v>1216.2</c:v>
                </c:pt>
                <c:pt idx="51">
                  <c:v>1300.2</c:v>
                </c:pt>
                <c:pt idx="52">
                  <c:v>1092.5999999999999</c:v>
                </c:pt>
                <c:pt idx="53">
                  <c:v>1028.0999999999999</c:v>
                </c:pt>
                <c:pt idx="54">
                  <c:v>883.2</c:v>
                </c:pt>
                <c:pt idx="55">
                  <c:v>1361.6</c:v>
                </c:pt>
                <c:pt idx="56">
                  <c:v>1568.9</c:v>
                </c:pt>
                <c:pt idx="57">
                  <c:v>890.2</c:v>
                </c:pt>
                <c:pt idx="58">
                  <c:v>1364.9</c:v>
                </c:pt>
                <c:pt idx="59">
                  <c:v>1323.5</c:v>
                </c:pt>
                <c:pt idx="60">
                  <c:v>1378.4</c:v>
                </c:pt>
                <c:pt idx="61">
                  <c:v>1193.0999999999999</c:v>
                </c:pt>
                <c:pt idx="62">
                  <c:v>1501.6</c:v>
                </c:pt>
                <c:pt idx="63">
                  <c:v>1969.6</c:v>
                </c:pt>
                <c:pt idx="64">
                  <c:v>1735</c:v>
                </c:pt>
                <c:pt idx="65">
                  <c:v>1379.1</c:v>
                </c:pt>
                <c:pt idx="66">
                  <c:v>1577.1</c:v>
                </c:pt>
                <c:pt idx="67">
                  <c:v>2181.9</c:v>
                </c:pt>
                <c:pt idx="68">
                  <c:v>2018.2</c:v>
                </c:pt>
              </c:numCache>
            </c:numRef>
          </c:yVal>
        </c:ser>
        <c:ser>
          <c:idx val="52"/>
          <c:order val="51"/>
          <c:tx>
            <c:v>o 2004</c:v>
          </c:tx>
          <c:spPr>
            <a:ln w="28575">
              <a:noFill/>
            </a:ln>
          </c:spPr>
          <c:marker>
            <c:symbol val="star"/>
            <c:size val="6"/>
            <c:spPr>
              <a:noFill/>
              <a:ln>
                <a:solidFill>
                  <a:srgbClr val="FF0000"/>
                </a:solidFill>
                <a:prstDash val="solid"/>
              </a:ln>
            </c:spPr>
          </c:marker>
          <c:xVal>
            <c:numRef>
              <c:f>Sheet2!$BR$60:$BR$128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Sheet2!$V$60:$V$128</c:f>
              <c:numCache>
                <c:formatCode>General</c:formatCode>
                <c:ptCount val="69"/>
                <c:pt idx="0">
                  <c:v>203.3</c:v>
                </c:pt>
                <c:pt idx="1">
                  <c:v>226.7</c:v>
                </c:pt>
                <c:pt idx="2">
                  <c:v>263.8</c:v>
                </c:pt>
                <c:pt idx="3">
                  <c:v>276.5</c:v>
                </c:pt>
                <c:pt idx="4">
                  <c:v>329.2</c:v>
                </c:pt>
                <c:pt idx="5">
                  <c:v>371.8</c:v>
                </c:pt>
                <c:pt idx="6">
                  <c:v>545.9</c:v>
                </c:pt>
                <c:pt idx="7">
                  <c:v>455.1</c:v>
                </c:pt>
                <c:pt idx="8">
                  <c:v>466.9</c:v>
                </c:pt>
                <c:pt idx="9">
                  <c:v>561.79999999999995</c:v>
                </c:pt>
                <c:pt idx="10">
                  <c:v>528.70000000000005</c:v>
                </c:pt>
                <c:pt idx="11">
                  <c:v>431.2</c:v>
                </c:pt>
                <c:pt idx="12">
                  <c:v>525.1</c:v>
                </c:pt>
                <c:pt idx="13">
                  <c:v>592.20000000000005</c:v>
                </c:pt>
                <c:pt idx="14">
                  <c:v>635.20000000000005</c:v>
                </c:pt>
                <c:pt idx="15">
                  <c:v>580.1</c:v>
                </c:pt>
                <c:pt idx="16">
                  <c:v>536.29999999999995</c:v>
                </c:pt>
                <c:pt idx="17">
                  <c:v>642.20000000000005</c:v>
                </c:pt>
                <c:pt idx="18">
                  <c:v>586.70000000000005</c:v>
                </c:pt>
                <c:pt idx="19">
                  <c:v>687.4</c:v>
                </c:pt>
                <c:pt idx="20">
                  <c:v>710.5</c:v>
                </c:pt>
                <c:pt idx="21">
                  <c:v>796.5</c:v>
                </c:pt>
                <c:pt idx="22">
                  <c:v>659.6</c:v>
                </c:pt>
                <c:pt idx="23">
                  <c:v>624</c:v>
                </c:pt>
                <c:pt idx="24">
                  <c:v>765.6</c:v>
                </c:pt>
                <c:pt idx="25">
                  <c:v>486.2</c:v>
                </c:pt>
                <c:pt idx="26">
                  <c:v>636</c:v>
                </c:pt>
                <c:pt idx="27">
                  <c:v>525.1</c:v>
                </c:pt>
                <c:pt idx="28">
                  <c:v>741.8</c:v>
                </c:pt>
                <c:pt idx="29">
                  <c:v>524.4</c:v>
                </c:pt>
                <c:pt idx="30">
                  <c:v>1107.3</c:v>
                </c:pt>
                <c:pt idx="31">
                  <c:v>780.8</c:v>
                </c:pt>
                <c:pt idx="32">
                  <c:v>662.4</c:v>
                </c:pt>
                <c:pt idx="33">
                  <c:v>932.7</c:v>
                </c:pt>
                <c:pt idx="34">
                  <c:v>703.1</c:v>
                </c:pt>
                <c:pt idx="35">
                  <c:v>790.6</c:v>
                </c:pt>
                <c:pt idx="36">
                  <c:v>822.9</c:v>
                </c:pt>
                <c:pt idx="37">
                  <c:v>813.7</c:v>
                </c:pt>
                <c:pt idx="38">
                  <c:v>1024.5</c:v>
                </c:pt>
                <c:pt idx="39">
                  <c:v>851.8</c:v>
                </c:pt>
                <c:pt idx="40">
                  <c:v>757.1</c:v>
                </c:pt>
                <c:pt idx="41">
                  <c:v>810.5</c:v>
                </c:pt>
                <c:pt idx="42">
                  <c:v>985.2</c:v>
                </c:pt>
                <c:pt idx="43">
                  <c:v>825.9</c:v>
                </c:pt>
                <c:pt idx="44">
                  <c:v>1315.7</c:v>
                </c:pt>
                <c:pt idx="45">
                  <c:v>1153.4000000000001</c:v>
                </c:pt>
                <c:pt idx="46">
                  <c:v>1118.7</c:v>
                </c:pt>
                <c:pt idx="47">
                  <c:v>1050</c:v>
                </c:pt>
                <c:pt idx="48">
                  <c:v>1146.4000000000001</c:v>
                </c:pt>
                <c:pt idx="49">
                  <c:v>1443.8</c:v>
                </c:pt>
                <c:pt idx="50">
                  <c:v>1192.4000000000001</c:v>
                </c:pt>
                <c:pt idx="51">
                  <c:v>1217.8</c:v>
                </c:pt>
                <c:pt idx="52">
                  <c:v>1204.7</c:v>
                </c:pt>
                <c:pt idx="53">
                  <c:v>1055.2</c:v>
                </c:pt>
                <c:pt idx="54">
                  <c:v>882.7</c:v>
                </c:pt>
                <c:pt idx="55">
                  <c:v>1332.1</c:v>
                </c:pt>
                <c:pt idx="56">
                  <c:v>1325.3</c:v>
                </c:pt>
                <c:pt idx="57">
                  <c:v>784.8</c:v>
                </c:pt>
                <c:pt idx="58">
                  <c:v>1347.4</c:v>
                </c:pt>
                <c:pt idx="59">
                  <c:v>1299.5</c:v>
                </c:pt>
                <c:pt idx="60">
                  <c:v>1408.3</c:v>
                </c:pt>
                <c:pt idx="61">
                  <c:v>1256.0999999999999</c:v>
                </c:pt>
                <c:pt idx="62">
                  <c:v>1551.9</c:v>
                </c:pt>
                <c:pt idx="63">
                  <c:v>1841.8</c:v>
                </c:pt>
                <c:pt idx="64">
                  <c:v>1839.4</c:v>
                </c:pt>
                <c:pt idx="65">
                  <c:v>1276.8</c:v>
                </c:pt>
                <c:pt idx="66">
                  <c:v>1546.8</c:v>
                </c:pt>
                <c:pt idx="67">
                  <c:v>2075.8000000000002</c:v>
                </c:pt>
                <c:pt idx="68">
                  <c:v>1740.4</c:v>
                </c:pt>
              </c:numCache>
            </c:numRef>
          </c:yVal>
        </c:ser>
        <c:ser>
          <c:idx val="53"/>
          <c:order val="52"/>
          <c:tx>
            <c:v>o 2005</c:v>
          </c:tx>
          <c:spPr>
            <a:ln w="28575">
              <a:noFill/>
            </a:ln>
          </c:spPr>
          <c:marker>
            <c:symbol val="star"/>
            <c:size val="6"/>
            <c:spPr>
              <a:noFill/>
              <a:ln>
                <a:solidFill>
                  <a:srgbClr val="FF0000"/>
                </a:solidFill>
                <a:prstDash val="solid"/>
              </a:ln>
            </c:spPr>
          </c:marker>
          <c:xVal>
            <c:numRef>
              <c:f>Sheet2!$BS$60:$BS$128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21</c:v>
                </c:pt>
                <c:pt idx="68">
                  <c:v>21</c:v>
                </c:pt>
              </c:numCache>
            </c:numRef>
          </c:xVal>
          <c:yVal>
            <c:numRef>
              <c:f>Sheet2!$W$60:$W$128</c:f>
              <c:numCache>
                <c:formatCode>General</c:formatCode>
                <c:ptCount val="69"/>
                <c:pt idx="0">
                  <c:v>185.8</c:v>
                </c:pt>
                <c:pt idx="1">
                  <c:v>254.9</c:v>
                </c:pt>
                <c:pt idx="2">
                  <c:v>292.60000000000002</c:v>
                </c:pt>
                <c:pt idx="3">
                  <c:v>282.89999999999969</c:v>
                </c:pt>
                <c:pt idx="4">
                  <c:v>356.6</c:v>
                </c:pt>
                <c:pt idx="5">
                  <c:v>383.5</c:v>
                </c:pt>
                <c:pt idx="6">
                  <c:v>435.5</c:v>
                </c:pt>
                <c:pt idx="7">
                  <c:v>481</c:v>
                </c:pt>
                <c:pt idx="8">
                  <c:v>466.4</c:v>
                </c:pt>
                <c:pt idx="9">
                  <c:v>504</c:v>
                </c:pt>
                <c:pt idx="10">
                  <c:v>519</c:v>
                </c:pt>
                <c:pt idx="11">
                  <c:v>478.5</c:v>
                </c:pt>
                <c:pt idx="12">
                  <c:v>489.6</c:v>
                </c:pt>
                <c:pt idx="13">
                  <c:v>620.20000000000005</c:v>
                </c:pt>
                <c:pt idx="14">
                  <c:v>637.20000000000005</c:v>
                </c:pt>
                <c:pt idx="15">
                  <c:v>617.6</c:v>
                </c:pt>
                <c:pt idx="16">
                  <c:v>534.79999999999995</c:v>
                </c:pt>
                <c:pt idx="17">
                  <c:v>564.6</c:v>
                </c:pt>
                <c:pt idx="18">
                  <c:v>578.4</c:v>
                </c:pt>
                <c:pt idx="19">
                  <c:v>673.1</c:v>
                </c:pt>
                <c:pt idx="20">
                  <c:v>596.9</c:v>
                </c:pt>
                <c:pt idx="21">
                  <c:v>795.9</c:v>
                </c:pt>
                <c:pt idx="22">
                  <c:v>709.4</c:v>
                </c:pt>
                <c:pt idx="23">
                  <c:v>673.1</c:v>
                </c:pt>
                <c:pt idx="24">
                  <c:v>845.8</c:v>
                </c:pt>
                <c:pt idx="25">
                  <c:v>550.5</c:v>
                </c:pt>
                <c:pt idx="26">
                  <c:v>639.20000000000005</c:v>
                </c:pt>
                <c:pt idx="27">
                  <c:v>624.6</c:v>
                </c:pt>
                <c:pt idx="28">
                  <c:v>713.9</c:v>
                </c:pt>
                <c:pt idx="29">
                  <c:v>648.4</c:v>
                </c:pt>
                <c:pt idx="30">
                  <c:v>820.6</c:v>
                </c:pt>
                <c:pt idx="31">
                  <c:v>708.5</c:v>
                </c:pt>
                <c:pt idx="32">
                  <c:v>729.1</c:v>
                </c:pt>
                <c:pt idx="33">
                  <c:v>953.4</c:v>
                </c:pt>
                <c:pt idx="34">
                  <c:v>716.5</c:v>
                </c:pt>
                <c:pt idx="35">
                  <c:v>735.6</c:v>
                </c:pt>
                <c:pt idx="36">
                  <c:v>853.5</c:v>
                </c:pt>
                <c:pt idx="37">
                  <c:v>849.3</c:v>
                </c:pt>
                <c:pt idx="38">
                  <c:v>1003.7</c:v>
                </c:pt>
                <c:pt idx="39">
                  <c:v>876.6</c:v>
                </c:pt>
                <c:pt idx="40">
                  <c:v>798.9</c:v>
                </c:pt>
                <c:pt idx="41">
                  <c:v>740.8</c:v>
                </c:pt>
                <c:pt idx="42">
                  <c:v>951.8</c:v>
                </c:pt>
                <c:pt idx="43">
                  <c:v>829.9</c:v>
                </c:pt>
                <c:pt idx="44">
                  <c:v>1254.0999999999999</c:v>
                </c:pt>
                <c:pt idx="45">
                  <c:v>1187.4000000000001</c:v>
                </c:pt>
                <c:pt idx="46">
                  <c:v>1023.3</c:v>
                </c:pt>
                <c:pt idx="47">
                  <c:v>1151.2</c:v>
                </c:pt>
                <c:pt idx="48">
                  <c:v>1172.5</c:v>
                </c:pt>
                <c:pt idx="49">
                  <c:v>1459.2</c:v>
                </c:pt>
                <c:pt idx="50">
                  <c:v>1317.7</c:v>
                </c:pt>
                <c:pt idx="51">
                  <c:v>1195.5999999999999</c:v>
                </c:pt>
                <c:pt idx="52">
                  <c:v>1292.7</c:v>
                </c:pt>
                <c:pt idx="53">
                  <c:v>1220.9000000000001</c:v>
                </c:pt>
                <c:pt idx="54">
                  <c:v>993.1</c:v>
                </c:pt>
                <c:pt idx="55">
                  <c:v>1390.2</c:v>
                </c:pt>
                <c:pt idx="56">
                  <c:v>1401.6</c:v>
                </c:pt>
                <c:pt idx="57">
                  <c:v>1027.5999999999999</c:v>
                </c:pt>
                <c:pt idx="58">
                  <c:v>1491.4</c:v>
                </c:pt>
                <c:pt idx="59">
                  <c:v>1400.6</c:v>
                </c:pt>
                <c:pt idx="60">
                  <c:v>1467.1</c:v>
                </c:pt>
                <c:pt idx="61">
                  <c:v>1702.2</c:v>
                </c:pt>
                <c:pt idx="62">
                  <c:v>1611</c:v>
                </c:pt>
                <c:pt idx="63">
                  <c:v>1674.8</c:v>
                </c:pt>
                <c:pt idx="64">
                  <c:v>1754.5</c:v>
                </c:pt>
                <c:pt idx="65">
                  <c:v>1420.8</c:v>
                </c:pt>
                <c:pt idx="66">
                  <c:v>1861.2</c:v>
                </c:pt>
                <c:pt idx="67">
                  <c:v>2405.5</c:v>
                </c:pt>
                <c:pt idx="68">
                  <c:v>2358.1999999999998</c:v>
                </c:pt>
              </c:numCache>
            </c:numRef>
          </c:yVal>
        </c:ser>
        <c:ser>
          <c:idx val="54"/>
          <c:order val="53"/>
          <c:tx>
            <c:v>o 2006</c:v>
          </c:tx>
          <c:spPr>
            <a:ln w="28575">
              <a:noFill/>
            </a:ln>
          </c:spPr>
          <c:marker>
            <c:symbol val="star"/>
            <c:size val="6"/>
            <c:spPr>
              <a:noFill/>
              <a:ln>
                <a:solidFill>
                  <a:srgbClr val="FF0000"/>
                </a:solidFill>
                <a:prstDash val="solid"/>
              </a:ln>
            </c:spPr>
          </c:marker>
          <c:xVal>
            <c:numRef>
              <c:f>Sheet2!$BT$60:$BT$128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22</c:v>
                </c:pt>
                <c:pt idx="68">
                  <c:v>22</c:v>
                </c:pt>
              </c:numCache>
            </c:numRef>
          </c:xVal>
          <c:yVal>
            <c:numRef>
              <c:f>Sheet2!$X$60:$X$128</c:f>
              <c:numCache>
                <c:formatCode>General</c:formatCode>
                <c:ptCount val="69"/>
                <c:pt idx="0">
                  <c:v>245.1</c:v>
                </c:pt>
                <c:pt idx="1">
                  <c:v>282.5</c:v>
                </c:pt>
                <c:pt idx="2">
                  <c:v>287.7</c:v>
                </c:pt>
                <c:pt idx="3">
                  <c:v>300.8</c:v>
                </c:pt>
                <c:pt idx="4">
                  <c:v>393.2</c:v>
                </c:pt>
                <c:pt idx="5">
                  <c:v>386.8</c:v>
                </c:pt>
                <c:pt idx="6">
                  <c:v>393.5</c:v>
                </c:pt>
                <c:pt idx="7">
                  <c:v>455.2</c:v>
                </c:pt>
                <c:pt idx="8">
                  <c:v>466.5</c:v>
                </c:pt>
                <c:pt idx="9">
                  <c:v>453.3</c:v>
                </c:pt>
                <c:pt idx="10">
                  <c:v>504.5</c:v>
                </c:pt>
                <c:pt idx="11">
                  <c:v>569.29999999999995</c:v>
                </c:pt>
                <c:pt idx="12">
                  <c:v>515.29999999999995</c:v>
                </c:pt>
                <c:pt idx="13">
                  <c:v>613.5</c:v>
                </c:pt>
                <c:pt idx="14">
                  <c:v>617.4</c:v>
                </c:pt>
                <c:pt idx="15">
                  <c:v>638.20000000000005</c:v>
                </c:pt>
                <c:pt idx="16">
                  <c:v>581.79999999999995</c:v>
                </c:pt>
                <c:pt idx="17">
                  <c:v>601.1</c:v>
                </c:pt>
                <c:pt idx="18">
                  <c:v>619.1</c:v>
                </c:pt>
                <c:pt idx="19">
                  <c:v>637.9</c:v>
                </c:pt>
                <c:pt idx="20">
                  <c:v>528.20000000000005</c:v>
                </c:pt>
                <c:pt idx="21">
                  <c:v>760.6</c:v>
                </c:pt>
                <c:pt idx="22">
                  <c:v>711.2</c:v>
                </c:pt>
                <c:pt idx="23">
                  <c:v>688.1</c:v>
                </c:pt>
                <c:pt idx="24">
                  <c:v>757.4</c:v>
                </c:pt>
                <c:pt idx="25">
                  <c:v>633.70000000000005</c:v>
                </c:pt>
                <c:pt idx="26">
                  <c:v>656.3</c:v>
                </c:pt>
                <c:pt idx="27">
                  <c:v>612.79999999999995</c:v>
                </c:pt>
                <c:pt idx="28">
                  <c:v>714.2</c:v>
                </c:pt>
                <c:pt idx="29">
                  <c:v>731.2</c:v>
                </c:pt>
                <c:pt idx="30">
                  <c:v>786.9</c:v>
                </c:pt>
                <c:pt idx="31">
                  <c:v>715.1</c:v>
                </c:pt>
                <c:pt idx="32">
                  <c:v>737.8</c:v>
                </c:pt>
                <c:pt idx="33">
                  <c:v>855.7</c:v>
                </c:pt>
                <c:pt idx="34">
                  <c:v>710.1</c:v>
                </c:pt>
                <c:pt idx="35">
                  <c:v>933.4</c:v>
                </c:pt>
                <c:pt idx="36">
                  <c:v>802.4</c:v>
                </c:pt>
                <c:pt idx="37">
                  <c:v>811.2</c:v>
                </c:pt>
                <c:pt idx="38">
                  <c:v>1010.8</c:v>
                </c:pt>
                <c:pt idx="39">
                  <c:v>819.2</c:v>
                </c:pt>
                <c:pt idx="40">
                  <c:v>875.6</c:v>
                </c:pt>
                <c:pt idx="41">
                  <c:v>929.6</c:v>
                </c:pt>
                <c:pt idx="42">
                  <c:v>908.3</c:v>
                </c:pt>
                <c:pt idx="43">
                  <c:v>837.2</c:v>
                </c:pt>
                <c:pt idx="44">
                  <c:v>1206.4000000000001</c:v>
                </c:pt>
                <c:pt idx="45">
                  <c:v>1220.9000000000001</c:v>
                </c:pt>
                <c:pt idx="46">
                  <c:v>1069.9000000000001</c:v>
                </c:pt>
                <c:pt idx="47">
                  <c:v>1206.4000000000001</c:v>
                </c:pt>
                <c:pt idx="48">
                  <c:v>1169.4000000000001</c:v>
                </c:pt>
                <c:pt idx="49">
                  <c:v>1443.7</c:v>
                </c:pt>
                <c:pt idx="50">
                  <c:v>1339.5</c:v>
                </c:pt>
                <c:pt idx="51">
                  <c:v>1181.9000000000001</c:v>
                </c:pt>
                <c:pt idx="52">
                  <c:v>1248.2</c:v>
                </c:pt>
                <c:pt idx="53">
                  <c:v>1147.3</c:v>
                </c:pt>
                <c:pt idx="54">
                  <c:v>960</c:v>
                </c:pt>
                <c:pt idx="55">
                  <c:v>1410.7</c:v>
                </c:pt>
                <c:pt idx="56">
                  <c:v>1445.8</c:v>
                </c:pt>
                <c:pt idx="57">
                  <c:v>1324.9</c:v>
                </c:pt>
                <c:pt idx="58">
                  <c:v>1481.1</c:v>
                </c:pt>
                <c:pt idx="59">
                  <c:v>1550.9</c:v>
                </c:pt>
                <c:pt idx="60">
                  <c:v>1562.4</c:v>
                </c:pt>
                <c:pt idx="61">
                  <c:v>1577.7</c:v>
                </c:pt>
                <c:pt idx="62">
                  <c:v>1527.2</c:v>
                </c:pt>
                <c:pt idx="63">
                  <c:v>1553.7</c:v>
                </c:pt>
                <c:pt idx="64">
                  <c:v>1696.5</c:v>
                </c:pt>
                <c:pt idx="65">
                  <c:v>1905.3</c:v>
                </c:pt>
                <c:pt idx="66">
                  <c:v>1991</c:v>
                </c:pt>
                <c:pt idx="67">
                  <c:v>2480.6999999999998</c:v>
                </c:pt>
                <c:pt idx="68">
                  <c:v>2419.1999999999998</c:v>
                </c:pt>
              </c:numCache>
            </c:numRef>
          </c:yVal>
        </c:ser>
        <c:ser>
          <c:idx val="55"/>
          <c:order val="54"/>
          <c:tx>
            <c:v>o 2007</c:v>
          </c:tx>
          <c:spPr>
            <a:ln w="28575">
              <a:noFill/>
            </a:ln>
          </c:spPr>
          <c:marker>
            <c:symbol val="star"/>
            <c:size val="6"/>
            <c:spPr>
              <a:noFill/>
              <a:ln>
                <a:solidFill>
                  <a:srgbClr val="FF0000"/>
                </a:solidFill>
                <a:prstDash val="solid"/>
              </a:ln>
            </c:spPr>
          </c:marker>
          <c:xVal>
            <c:numRef>
              <c:f>Sheet2!$BU$60:$BU$128</c:f>
              <c:numCache>
                <c:formatCode>General</c:formatCode>
                <c:ptCount val="6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23</c:v>
                </c:pt>
                <c:pt idx="68">
                  <c:v>23</c:v>
                </c:pt>
              </c:numCache>
            </c:numRef>
          </c:xVal>
          <c:yVal>
            <c:numRef>
              <c:f>Sheet2!$Y$60:$Y$128</c:f>
              <c:numCache>
                <c:formatCode>General</c:formatCode>
                <c:ptCount val="69"/>
                <c:pt idx="0">
                  <c:v>235.2</c:v>
                </c:pt>
                <c:pt idx="1">
                  <c:v>249.8</c:v>
                </c:pt>
                <c:pt idx="2">
                  <c:v>260.2</c:v>
                </c:pt>
                <c:pt idx="3">
                  <c:v>288.39999999999969</c:v>
                </c:pt>
                <c:pt idx="4">
                  <c:v>328.1</c:v>
                </c:pt>
                <c:pt idx="5">
                  <c:v>402.2</c:v>
                </c:pt>
                <c:pt idx="6">
                  <c:v>417.8</c:v>
                </c:pt>
                <c:pt idx="7">
                  <c:v>424.6</c:v>
                </c:pt>
                <c:pt idx="8">
                  <c:v>450.7</c:v>
                </c:pt>
                <c:pt idx="9">
                  <c:v>489.2</c:v>
                </c:pt>
                <c:pt idx="10">
                  <c:v>502.1</c:v>
                </c:pt>
                <c:pt idx="11">
                  <c:v>530.6</c:v>
                </c:pt>
                <c:pt idx="12">
                  <c:v>540</c:v>
                </c:pt>
                <c:pt idx="13">
                  <c:v>548.4</c:v>
                </c:pt>
                <c:pt idx="14">
                  <c:v>556.4</c:v>
                </c:pt>
                <c:pt idx="15">
                  <c:v>571.5</c:v>
                </c:pt>
                <c:pt idx="16">
                  <c:v>572.29999999999995</c:v>
                </c:pt>
                <c:pt idx="17">
                  <c:v>597</c:v>
                </c:pt>
                <c:pt idx="18">
                  <c:v>602.1</c:v>
                </c:pt>
                <c:pt idx="19">
                  <c:v>613.79999999999995</c:v>
                </c:pt>
                <c:pt idx="20">
                  <c:v>615.20000000000005</c:v>
                </c:pt>
                <c:pt idx="21">
                  <c:v>619.5</c:v>
                </c:pt>
                <c:pt idx="22">
                  <c:v>626.70000000000005</c:v>
                </c:pt>
                <c:pt idx="23">
                  <c:v>632.5</c:v>
                </c:pt>
                <c:pt idx="24">
                  <c:v>644.5</c:v>
                </c:pt>
                <c:pt idx="25">
                  <c:v>656.1</c:v>
                </c:pt>
                <c:pt idx="26">
                  <c:v>667.1</c:v>
                </c:pt>
                <c:pt idx="27">
                  <c:v>679.1</c:v>
                </c:pt>
                <c:pt idx="28">
                  <c:v>687.7</c:v>
                </c:pt>
                <c:pt idx="29">
                  <c:v>695.6</c:v>
                </c:pt>
                <c:pt idx="30">
                  <c:v>718.4</c:v>
                </c:pt>
                <c:pt idx="31">
                  <c:v>722.8</c:v>
                </c:pt>
                <c:pt idx="32">
                  <c:v>723.8</c:v>
                </c:pt>
                <c:pt idx="33">
                  <c:v>784.1</c:v>
                </c:pt>
                <c:pt idx="34">
                  <c:v>826.4</c:v>
                </c:pt>
                <c:pt idx="35">
                  <c:v>846.4</c:v>
                </c:pt>
                <c:pt idx="36">
                  <c:v>850.6</c:v>
                </c:pt>
                <c:pt idx="37">
                  <c:v>851.8</c:v>
                </c:pt>
                <c:pt idx="38">
                  <c:v>852.7</c:v>
                </c:pt>
                <c:pt idx="39">
                  <c:v>856.6</c:v>
                </c:pt>
                <c:pt idx="40">
                  <c:v>874.1</c:v>
                </c:pt>
                <c:pt idx="41">
                  <c:v>945</c:v>
                </c:pt>
                <c:pt idx="42">
                  <c:v>990</c:v>
                </c:pt>
                <c:pt idx="43">
                  <c:v>1021.6</c:v>
                </c:pt>
                <c:pt idx="44">
                  <c:v>1069.2</c:v>
                </c:pt>
                <c:pt idx="45">
                  <c:v>1079.5</c:v>
                </c:pt>
                <c:pt idx="46">
                  <c:v>1106.7</c:v>
                </c:pt>
                <c:pt idx="47">
                  <c:v>1113.5</c:v>
                </c:pt>
                <c:pt idx="48">
                  <c:v>1132.2</c:v>
                </c:pt>
                <c:pt idx="49">
                  <c:v>1143.8</c:v>
                </c:pt>
                <c:pt idx="50">
                  <c:v>1155.2</c:v>
                </c:pt>
                <c:pt idx="51">
                  <c:v>1178.7</c:v>
                </c:pt>
                <c:pt idx="52">
                  <c:v>1193.3</c:v>
                </c:pt>
                <c:pt idx="53">
                  <c:v>1227.7</c:v>
                </c:pt>
                <c:pt idx="54">
                  <c:v>1234.3</c:v>
                </c:pt>
                <c:pt idx="55">
                  <c:v>1274.5</c:v>
                </c:pt>
                <c:pt idx="56">
                  <c:v>1347</c:v>
                </c:pt>
                <c:pt idx="57">
                  <c:v>1403.3</c:v>
                </c:pt>
                <c:pt idx="58">
                  <c:v>1418.7</c:v>
                </c:pt>
                <c:pt idx="59">
                  <c:v>1464.9</c:v>
                </c:pt>
                <c:pt idx="60">
                  <c:v>1475.4</c:v>
                </c:pt>
                <c:pt idx="61">
                  <c:v>1503.1</c:v>
                </c:pt>
                <c:pt idx="62">
                  <c:v>1508.9</c:v>
                </c:pt>
                <c:pt idx="63">
                  <c:v>1623.8</c:v>
                </c:pt>
                <c:pt idx="64">
                  <c:v>1631.1</c:v>
                </c:pt>
                <c:pt idx="65">
                  <c:v>1917.8</c:v>
                </c:pt>
                <c:pt idx="66">
                  <c:v>1950.7</c:v>
                </c:pt>
                <c:pt idx="67">
                  <c:v>2198.1999999999998</c:v>
                </c:pt>
                <c:pt idx="68">
                  <c:v>2289</c:v>
                </c:pt>
              </c:numCache>
            </c:numRef>
          </c:yVal>
        </c:ser>
        <c:axId val="259537152"/>
        <c:axId val="268138752"/>
      </c:scatterChart>
      <c:catAx>
        <c:axId val="259537152"/>
        <c:scaling>
          <c:orientation val="minMax"/>
        </c:scaling>
        <c:axPos val="b"/>
        <c:tickLblPos val="low"/>
        <c:spPr>
          <a:ln w="12700"/>
        </c:spPr>
        <c:txPr>
          <a:bodyPr/>
          <a:lstStyle/>
          <a:p>
            <a:pPr>
              <a:defRPr sz="1000"/>
            </a:pPr>
            <a:endParaRPr lang="en-US"/>
          </a:p>
        </c:txPr>
        <c:crossAx val="268138752"/>
        <c:crosses val="autoZero"/>
        <c:lblAlgn val="ctr"/>
        <c:lblOffset val="100"/>
        <c:tickLblSkip val="2"/>
      </c:catAx>
      <c:valAx>
        <c:axId val="268138752"/>
        <c:scaling>
          <c:orientation val="minMax"/>
          <c:max val="4300"/>
          <c:min val="0"/>
        </c:scaling>
        <c:axPos val="r"/>
        <c:majorGridlines>
          <c:spPr>
            <a:ln w="12700">
              <a:solidFill>
                <a:srgbClr val="C0C0C0"/>
              </a:solidFill>
              <a:prstDash val="solid"/>
            </a:ln>
          </c:spPr>
        </c:majorGridlines>
        <c:numFmt formatCode="General" sourceLinked="1"/>
        <c:tickLblPos val="nextTo"/>
        <c:spPr>
          <a:ln w="12700">
            <a:noFill/>
          </a:ln>
        </c:spPr>
        <c:txPr>
          <a:bodyPr/>
          <a:lstStyle/>
          <a:p>
            <a:pPr>
              <a:defRPr sz="1000"/>
            </a:pPr>
            <a:endParaRPr lang="en-US"/>
          </a:p>
        </c:txPr>
        <c:crossAx val="259537152"/>
        <c:crosses val="max"/>
        <c:crossBetween val="between"/>
        <c:majorUnit val="1000"/>
      </c:valAx>
      <c:spPr>
        <a:solidFill>
          <a:srgbClr val="FFFFFF"/>
        </a:solidFill>
        <a:ln w="12700">
          <a:noFill/>
          <a:prstDash val="solid"/>
        </a:ln>
      </c:spPr>
    </c:plotArea>
    <c:plotVisOnly val="1"/>
    <c:dispBlanksAs val="gap"/>
  </c:chart>
  <c:spPr>
    <a:ln w="9525">
      <a:noFill/>
    </a:ln>
  </c:spPr>
  <c:txPr>
    <a:bodyPr/>
    <a:lstStyle/>
    <a:p>
      <a:pPr>
        <a:defRPr sz="800"/>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0765164771071383E-2"/>
          <c:y val="0.13675628016767108"/>
          <c:w val="0.90880662486633557"/>
          <c:h val="0.49999151261225838"/>
        </c:manualLayout>
      </c:layout>
      <c:barChart>
        <c:barDir val="col"/>
        <c:grouping val="clustered"/>
        <c:ser>
          <c:idx val="0"/>
          <c:order val="0"/>
          <c:tx>
            <c:strRef>
              <c:f>Sheet1!$B$1</c:f>
              <c:strCache>
                <c:ptCount val="1"/>
                <c:pt idx="0">
                  <c:v>2007</c:v>
                </c:pt>
              </c:strCache>
            </c:strRef>
          </c:tx>
          <c:spPr>
            <a:solidFill>
              <a:schemeClr val="tx2">
                <a:lumMod val="40000"/>
                <a:lumOff val="60000"/>
              </a:schemeClr>
            </a:solidFill>
          </c:spPr>
          <c:cat>
            <c:strRef>
              <c:f>Sheet1!$A$2:$A$5</c:f>
              <c:strCache>
                <c:ptCount val="4"/>
                <c:pt idx="0">
                  <c:v>Not
Employed</c:v>
                </c:pt>
                <c:pt idx="1">
                  <c:v>Part
Time</c:v>
                </c:pt>
                <c:pt idx="2">
                  <c:v>Full Time 
Minimum Wage</c:v>
                </c:pt>
                <c:pt idx="3">
                  <c:v>Full Time above
Minimum</c:v>
                </c:pt>
              </c:strCache>
            </c:strRef>
          </c:cat>
          <c:val>
            <c:numRef>
              <c:f>Sheet1!$B$2:$B$5</c:f>
              <c:numCache>
                <c:formatCode>0%</c:formatCode>
                <c:ptCount val="4"/>
                <c:pt idx="0">
                  <c:v>0.49000000000000032</c:v>
                </c:pt>
                <c:pt idx="1">
                  <c:v>0.23</c:v>
                </c:pt>
                <c:pt idx="2">
                  <c:v>0.16</c:v>
                </c:pt>
                <c:pt idx="3">
                  <c:v>0.12000000000000002</c:v>
                </c:pt>
              </c:numCache>
            </c:numRef>
          </c:val>
        </c:ser>
        <c:ser>
          <c:idx val="1"/>
          <c:order val="1"/>
          <c:tx>
            <c:strRef>
              <c:f>Sheet1!$C$1</c:f>
              <c:strCache>
                <c:ptCount val="1"/>
                <c:pt idx="0">
                  <c:v>2008</c:v>
                </c:pt>
              </c:strCache>
            </c:strRef>
          </c:tx>
          <c:spPr>
            <a:solidFill>
              <a:schemeClr val="accent1">
                <a:lumMod val="75000"/>
              </a:schemeClr>
            </a:solidFill>
          </c:spPr>
          <c:cat>
            <c:strRef>
              <c:f>Sheet1!$A$2:$A$5</c:f>
              <c:strCache>
                <c:ptCount val="4"/>
                <c:pt idx="0">
                  <c:v>Not
Employed</c:v>
                </c:pt>
                <c:pt idx="1">
                  <c:v>Part
Time</c:v>
                </c:pt>
                <c:pt idx="2">
                  <c:v>Full Time 
Minimum Wage</c:v>
                </c:pt>
                <c:pt idx="3">
                  <c:v>Full Time above
Minimum</c:v>
                </c:pt>
              </c:strCache>
            </c:strRef>
          </c:cat>
          <c:val>
            <c:numRef>
              <c:f>Sheet1!$C$2:$C$5</c:f>
              <c:numCache>
                <c:formatCode>0%</c:formatCode>
                <c:ptCount val="4"/>
                <c:pt idx="0">
                  <c:v>0.52</c:v>
                </c:pt>
                <c:pt idx="1">
                  <c:v>0.25</c:v>
                </c:pt>
                <c:pt idx="2">
                  <c:v>0.14000000000000001</c:v>
                </c:pt>
                <c:pt idx="3">
                  <c:v>9.0000000000000024E-2</c:v>
                </c:pt>
              </c:numCache>
            </c:numRef>
          </c:val>
        </c:ser>
        <c:gapWidth val="126"/>
        <c:axId val="199399680"/>
        <c:axId val="255616128"/>
      </c:barChart>
      <c:catAx>
        <c:axId val="199399680"/>
        <c:scaling>
          <c:orientation val="minMax"/>
        </c:scaling>
        <c:axPos val="b"/>
        <c:tickLblPos val="nextTo"/>
        <c:txPr>
          <a:bodyPr/>
          <a:lstStyle/>
          <a:p>
            <a:pPr>
              <a:defRPr b="1"/>
            </a:pPr>
            <a:endParaRPr lang="en-US"/>
          </a:p>
        </c:txPr>
        <c:crossAx val="255616128"/>
        <c:crosses val="autoZero"/>
        <c:auto val="1"/>
        <c:lblAlgn val="ctr"/>
        <c:lblOffset val="100"/>
      </c:catAx>
      <c:valAx>
        <c:axId val="255616128"/>
        <c:scaling>
          <c:orientation val="minMax"/>
          <c:max val="0.55000000000000004"/>
          <c:min val="0"/>
        </c:scaling>
        <c:axPos val="l"/>
        <c:majorGridlines>
          <c:spPr>
            <a:ln>
              <a:solidFill>
                <a:schemeClr val="accent1"/>
              </a:solidFill>
            </a:ln>
          </c:spPr>
        </c:majorGridlines>
        <c:numFmt formatCode="0%" sourceLinked="1"/>
        <c:tickLblPos val="nextTo"/>
        <c:spPr>
          <a:ln>
            <a:noFill/>
          </a:ln>
        </c:spPr>
        <c:crossAx val="199399680"/>
        <c:crosses val="autoZero"/>
        <c:crossBetween val="between"/>
        <c:majorUnit val="0.1"/>
      </c:valAx>
      <c:spPr>
        <a:solidFill>
          <a:schemeClr val="bg1"/>
        </a:solidFill>
      </c:spPr>
    </c:plotArea>
    <c:legend>
      <c:legendPos val="r"/>
      <c:layout>
        <c:manualLayout>
          <c:xMode val="edge"/>
          <c:yMode val="edge"/>
          <c:x val="0.61872657648750695"/>
          <c:y val="0.18177038920164634"/>
          <c:w val="0.33376154369592692"/>
          <c:h val="9.9643324525631544E-2"/>
        </c:manualLayout>
      </c:layout>
      <c:txPr>
        <a:bodyPr/>
        <a:lstStyle/>
        <a:p>
          <a:pPr>
            <a:defRPr sz="1000"/>
          </a:pPr>
          <a:endParaRPr lang="en-US"/>
        </a:p>
      </c:txPr>
    </c:legend>
    <c:plotVisOnly val="1"/>
  </c:chart>
  <c:spPr>
    <a:solidFill>
      <a:schemeClr val="bg1"/>
    </a:solidFill>
    <a:ln>
      <a:noFill/>
    </a:ln>
  </c:spPr>
  <c:txPr>
    <a:bodyPr/>
    <a:lstStyle/>
    <a:p>
      <a:pPr>
        <a:defRPr sz="900"/>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3.4230486967252657E-2"/>
          <c:y val="0.19079962412587648"/>
          <c:w val="0.91373837691089344"/>
          <c:h val="0.70286223432804162"/>
        </c:manualLayout>
      </c:layout>
      <c:lineChart>
        <c:grouping val="standard"/>
        <c:ser>
          <c:idx val="0"/>
          <c:order val="0"/>
          <c:tx>
            <c:strRef>
              <c:f>data!$C$5</c:f>
              <c:strCache>
                <c:ptCount val="1"/>
                <c:pt idx="0">
                  <c:v>ANES</c:v>
                </c:pt>
              </c:strCache>
            </c:strRef>
          </c:tx>
          <c:spPr>
            <a:ln>
              <a:solidFill>
                <a:schemeClr val="tx1"/>
              </a:solidFill>
            </a:ln>
          </c:spPr>
          <c:marker>
            <c:symbol val="none"/>
          </c:marker>
          <c:dLbls>
            <c:dLbl>
              <c:idx val="4"/>
              <c:spPr/>
              <c:txPr>
                <a:bodyPr/>
                <a:lstStyle/>
                <a:p>
                  <a:pPr>
                    <a:defRPr sz="900" b="1"/>
                  </a:pPr>
                  <a:endParaRPr lang="en-US"/>
                </a:p>
              </c:txPr>
              <c:showSerName val="1"/>
            </c:dLbl>
            <c:delete val="1"/>
            <c:txPr>
              <a:bodyPr/>
              <a:lstStyle/>
              <a:p>
                <a:pPr>
                  <a:defRPr sz="900"/>
                </a:pPr>
                <a:endParaRPr lang="en-US"/>
              </a:p>
            </c:txPr>
          </c:dLbls>
          <c:cat>
            <c:strRef>
              <c:f>data!$B$6:$B$21</c:f>
              <c:strCache>
                <c:ptCount val="15"/>
                <c:pt idx="0">
                  <c:v>52</c:v>
                </c:pt>
                <c:pt idx="1">
                  <c:v>56</c:v>
                </c:pt>
                <c:pt idx="2">
                  <c:v>60</c:v>
                </c:pt>
                <c:pt idx="3">
                  <c:v>64</c:v>
                </c:pt>
                <c:pt idx="4">
                  <c:v>68</c:v>
                </c:pt>
                <c:pt idx="5">
                  <c:v>72</c:v>
                </c:pt>
                <c:pt idx="6">
                  <c:v>76</c:v>
                </c:pt>
                <c:pt idx="7">
                  <c:v>80</c:v>
                </c:pt>
                <c:pt idx="8">
                  <c:v>84</c:v>
                </c:pt>
                <c:pt idx="9">
                  <c:v>88</c:v>
                </c:pt>
                <c:pt idx="10">
                  <c:v>92</c:v>
                </c:pt>
                <c:pt idx="11">
                  <c:v>96</c:v>
                </c:pt>
                <c:pt idx="12">
                  <c:v>00</c:v>
                </c:pt>
                <c:pt idx="13">
                  <c:v>04</c:v>
                </c:pt>
                <c:pt idx="14">
                  <c:v>08</c:v>
                </c:pt>
              </c:strCache>
            </c:strRef>
          </c:cat>
          <c:val>
            <c:numRef>
              <c:f>data!$C$6:$C$21</c:f>
              <c:numCache>
                <c:formatCode>0</c:formatCode>
                <c:ptCount val="15"/>
                <c:pt idx="0">
                  <c:v>72.987164527420006</c:v>
                </c:pt>
                <c:pt idx="1">
                  <c:v>72.92849035186974</c:v>
                </c:pt>
                <c:pt idx="2">
                  <c:v>79.004920721709993</c:v>
                </c:pt>
                <c:pt idx="3">
                  <c:v>77.655172413789444</c:v>
                </c:pt>
                <c:pt idx="4">
                  <c:v>75.84471603163</c:v>
                </c:pt>
                <c:pt idx="5">
                  <c:v>72.798948751639784</c:v>
                </c:pt>
                <c:pt idx="6">
                  <c:v>71.577195172699689</c:v>
                </c:pt>
                <c:pt idx="7">
                  <c:v>71.357498223169785</c:v>
                </c:pt>
                <c:pt idx="8">
                  <c:v>73.604826545999998</c:v>
                </c:pt>
                <c:pt idx="9">
                  <c:v>69.655950366609659</c:v>
                </c:pt>
                <c:pt idx="10">
                  <c:v>75.132978723399674</c:v>
                </c:pt>
                <c:pt idx="11">
                  <c:v>72.872340425529629</c:v>
                </c:pt>
                <c:pt idx="12">
                  <c:v>72.697795071339982</c:v>
                </c:pt>
                <c:pt idx="13">
                  <c:v>77</c:v>
                </c:pt>
                <c:pt idx="14" formatCode="0.0">
                  <c:v>76</c:v>
                </c:pt>
              </c:numCache>
            </c:numRef>
          </c:val>
        </c:ser>
        <c:ser>
          <c:idx val="1"/>
          <c:order val="1"/>
          <c:tx>
            <c:strRef>
              <c:f>data!$D$5</c:f>
              <c:strCache>
                <c:ptCount val="1"/>
                <c:pt idx="0">
                  <c:v>VC/VAP</c:v>
                </c:pt>
              </c:strCache>
            </c:strRef>
          </c:tx>
          <c:spPr>
            <a:ln>
              <a:solidFill>
                <a:prstClr val="black"/>
              </a:solidFill>
            </a:ln>
          </c:spPr>
          <c:marker>
            <c:symbol val="none"/>
          </c:marker>
          <c:dLbls>
            <c:dLbl>
              <c:idx val="7"/>
              <c:layout>
                <c:manualLayout>
                  <c:x val="-0.21544756696208034"/>
                  <c:y val="-4.1185401121973334E-3"/>
                </c:manualLayout>
              </c:layout>
              <c:tx>
                <c:rich>
                  <a:bodyPr/>
                  <a:lstStyle/>
                  <a:p>
                    <a:r>
                      <a:rPr lang="en-US" sz="900" b="1"/>
                      <a:t>VC/VAP</a:t>
                    </a:r>
                  </a:p>
                </c:rich>
              </c:tx>
              <c:dLblPos val="r"/>
              <c:showSerName val="1"/>
            </c:dLbl>
            <c:delete val="1"/>
            <c:txPr>
              <a:bodyPr/>
              <a:lstStyle/>
              <a:p>
                <a:pPr>
                  <a:defRPr sz="900"/>
                </a:pPr>
                <a:endParaRPr lang="en-US"/>
              </a:p>
            </c:txPr>
          </c:dLbls>
          <c:cat>
            <c:strRef>
              <c:f>data!$B$6:$B$21</c:f>
              <c:strCache>
                <c:ptCount val="15"/>
                <c:pt idx="0">
                  <c:v>52</c:v>
                </c:pt>
                <c:pt idx="1">
                  <c:v>56</c:v>
                </c:pt>
                <c:pt idx="2">
                  <c:v>60</c:v>
                </c:pt>
                <c:pt idx="3">
                  <c:v>64</c:v>
                </c:pt>
                <c:pt idx="4">
                  <c:v>68</c:v>
                </c:pt>
                <c:pt idx="5">
                  <c:v>72</c:v>
                </c:pt>
                <c:pt idx="6">
                  <c:v>76</c:v>
                </c:pt>
                <c:pt idx="7">
                  <c:v>80</c:v>
                </c:pt>
                <c:pt idx="8">
                  <c:v>84</c:v>
                </c:pt>
                <c:pt idx="9">
                  <c:v>88</c:v>
                </c:pt>
                <c:pt idx="10">
                  <c:v>92</c:v>
                </c:pt>
                <c:pt idx="11">
                  <c:v>96</c:v>
                </c:pt>
                <c:pt idx="12">
                  <c:v>00</c:v>
                </c:pt>
                <c:pt idx="13">
                  <c:v>04</c:v>
                </c:pt>
                <c:pt idx="14">
                  <c:v>08</c:v>
                </c:pt>
              </c:strCache>
            </c:strRef>
          </c:cat>
          <c:val>
            <c:numRef>
              <c:f>data!$D$6:$D$21</c:f>
              <c:numCache>
                <c:formatCode>0</c:formatCode>
                <c:ptCount val="15"/>
                <c:pt idx="0">
                  <c:v>61.595732970409195</c:v>
                </c:pt>
                <c:pt idx="1">
                  <c:v>59.347462086781796</c:v>
                </c:pt>
                <c:pt idx="2">
                  <c:v>62.767160259683394</c:v>
                </c:pt>
                <c:pt idx="3">
                  <c:v>61.92041370847592</c:v>
                </c:pt>
                <c:pt idx="4">
                  <c:v>60.866275928004363</c:v>
                </c:pt>
                <c:pt idx="5">
                  <c:v>55.207171626046872</c:v>
                </c:pt>
                <c:pt idx="6">
                  <c:v>53.546760511594925</c:v>
                </c:pt>
                <c:pt idx="7">
                  <c:v>52.610277768584147</c:v>
                </c:pt>
                <c:pt idx="8">
                  <c:v>53.250316304339115</c:v>
                </c:pt>
                <c:pt idx="9">
                  <c:v>50.339065992535261</c:v>
                </c:pt>
                <c:pt idx="10">
                  <c:v>54.726015127023004</c:v>
                </c:pt>
                <c:pt idx="11">
                  <c:v>48.127637261988504</c:v>
                </c:pt>
                <c:pt idx="12">
                  <c:v>50.007305897258554</c:v>
                </c:pt>
                <c:pt idx="13">
                  <c:v>55.265798986311459</c:v>
                </c:pt>
                <c:pt idx="14" formatCode="0.0">
                  <c:v>56.8</c:v>
                </c:pt>
              </c:numCache>
            </c:numRef>
          </c:val>
        </c:ser>
        <c:ser>
          <c:idx val="2"/>
          <c:order val="2"/>
          <c:tx>
            <c:strRef>
              <c:f>data!$E$5</c:f>
              <c:strCache>
                <c:ptCount val="1"/>
                <c:pt idx="0">
                  <c:v>VC /VEP</c:v>
                </c:pt>
              </c:strCache>
            </c:strRef>
          </c:tx>
          <c:spPr>
            <a:ln w="38100">
              <a:solidFill>
                <a:schemeClr val="tx1">
                  <a:lumMod val="65000"/>
                  <a:lumOff val="35000"/>
                </a:schemeClr>
              </a:solidFill>
            </a:ln>
          </c:spPr>
          <c:marker>
            <c:symbol val="circle"/>
            <c:size val="5"/>
            <c:spPr>
              <a:solidFill>
                <a:schemeClr val="tx1"/>
              </a:solidFill>
              <a:ln>
                <a:noFill/>
              </a:ln>
            </c:spPr>
          </c:marker>
          <c:dLbls>
            <c:dLbl>
              <c:idx val="14"/>
              <c:layout>
                <c:manualLayout>
                  <c:x val="-6.308030575125477E-2"/>
                  <c:y val="-3.2055274807067255E-2"/>
                </c:manualLayout>
              </c:layout>
              <c:dLblPos val="r"/>
              <c:showSerName val="1"/>
            </c:dLbl>
            <c:delete val="1"/>
            <c:txPr>
              <a:bodyPr/>
              <a:lstStyle/>
              <a:p>
                <a:pPr>
                  <a:defRPr sz="900" b="1">
                    <a:solidFill>
                      <a:schemeClr val="tx1"/>
                    </a:solidFill>
                  </a:defRPr>
                </a:pPr>
                <a:endParaRPr lang="en-US"/>
              </a:p>
            </c:txPr>
          </c:dLbls>
          <c:cat>
            <c:strRef>
              <c:f>data!$B$6:$B$21</c:f>
              <c:strCache>
                <c:ptCount val="15"/>
                <c:pt idx="0">
                  <c:v>52</c:v>
                </c:pt>
                <c:pt idx="1">
                  <c:v>56</c:v>
                </c:pt>
                <c:pt idx="2">
                  <c:v>60</c:v>
                </c:pt>
                <c:pt idx="3">
                  <c:v>64</c:v>
                </c:pt>
                <c:pt idx="4">
                  <c:v>68</c:v>
                </c:pt>
                <c:pt idx="5">
                  <c:v>72</c:v>
                </c:pt>
                <c:pt idx="6">
                  <c:v>76</c:v>
                </c:pt>
                <c:pt idx="7">
                  <c:v>80</c:v>
                </c:pt>
                <c:pt idx="8">
                  <c:v>84</c:v>
                </c:pt>
                <c:pt idx="9">
                  <c:v>88</c:v>
                </c:pt>
                <c:pt idx="10">
                  <c:v>92</c:v>
                </c:pt>
                <c:pt idx="11">
                  <c:v>96</c:v>
                </c:pt>
                <c:pt idx="12">
                  <c:v>00</c:v>
                </c:pt>
                <c:pt idx="13">
                  <c:v>04</c:v>
                </c:pt>
                <c:pt idx="14">
                  <c:v>08</c:v>
                </c:pt>
              </c:strCache>
            </c:strRef>
          </c:cat>
          <c:val>
            <c:numRef>
              <c:f>data!$E$6:$E$21</c:f>
              <c:numCache>
                <c:formatCode>0</c:formatCode>
                <c:ptCount val="15"/>
                <c:pt idx="0">
                  <c:v>62.176725388812862</c:v>
                </c:pt>
                <c:pt idx="1">
                  <c:v>60.032282902901244</c:v>
                </c:pt>
                <c:pt idx="2">
                  <c:v>63.632599332500668</c:v>
                </c:pt>
                <c:pt idx="3">
                  <c:v>62.623316665770567</c:v>
                </c:pt>
                <c:pt idx="4">
                  <c:v>61.425323015034259</c:v>
                </c:pt>
                <c:pt idx="5">
                  <c:v>56.104802798285398</c:v>
                </c:pt>
                <c:pt idx="6">
                  <c:v>54.716703167058803</c:v>
                </c:pt>
                <c:pt idx="7">
                  <c:v>54.195612378081194</c:v>
                </c:pt>
                <c:pt idx="8">
                  <c:v>55.248436500751609</c:v>
                </c:pt>
                <c:pt idx="9">
                  <c:v>52.768216720776707</c:v>
                </c:pt>
                <c:pt idx="10">
                  <c:v>58.114080333409035</c:v>
                </c:pt>
                <c:pt idx="11">
                  <c:v>51.65788138548394</c:v>
                </c:pt>
                <c:pt idx="12">
                  <c:v>54.224621692189913</c:v>
                </c:pt>
                <c:pt idx="13">
                  <c:v>60.3</c:v>
                </c:pt>
                <c:pt idx="14" formatCode="0.0">
                  <c:v>61.7</c:v>
                </c:pt>
              </c:numCache>
            </c:numRef>
          </c:val>
        </c:ser>
        <c:ser>
          <c:idx val="3"/>
          <c:order val="3"/>
          <c:tx>
            <c:strRef>
              <c:f>data!$F$5</c:f>
              <c:strCache>
                <c:ptCount val="1"/>
                <c:pt idx="0">
                  <c:v>RV/VAP</c:v>
                </c:pt>
              </c:strCache>
            </c:strRef>
          </c:tx>
          <c:spPr>
            <a:ln>
              <a:solidFill>
                <a:prstClr val="black"/>
              </a:solidFill>
            </a:ln>
          </c:spPr>
          <c:marker>
            <c:symbol val="none"/>
          </c:marker>
          <c:dLbls>
            <c:dLbl>
              <c:idx val="4"/>
              <c:showSerName val="1"/>
            </c:dLbl>
            <c:delete val="1"/>
            <c:txPr>
              <a:bodyPr/>
              <a:lstStyle/>
              <a:p>
                <a:pPr>
                  <a:defRPr sz="900" b="1"/>
                </a:pPr>
                <a:endParaRPr lang="en-US"/>
              </a:p>
            </c:txPr>
          </c:dLbls>
          <c:cat>
            <c:strRef>
              <c:f>data!$B$6:$B$21</c:f>
              <c:strCache>
                <c:ptCount val="15"/>
                <c:pt idx="0">
                  <c:v>52</c:v>
                </c:pt>
                <c:pt idx="1">
                  <c:v>56</c:v>
                </c:pt>
                <c:pt idx="2">
                  <c:v>60</c:v>
                </c:pt>
                <c:pt idx="3">
                  <c:v>64</c:v>
                </c:pt>
                <c:pt idx="4">
                  <c:v>68</c:v>
                </c:pt>
                <c:pt idx="5">
                  <c:v>72</c:v>
                </c:pt>
                <c:pt idx="6">
                  <c:v>76</c:v>
                </c:pt>
                <c:pt idx="7">
                  <c:v>80</c:v>
                </c:pt>
                <c:pt idx="8">
                  <c:v>84</c:v>
                </c:pt>
                <c:pt idx="9">
                  <c:v>88</c:v>
                </c:pt>
                <c:pt idx="10">
                  <c:v>92</c:v>
                </c:pt>
                <c:pt idx="11">
                  <c:v>96</c:v>
                </c:pt>
                <c:pt idx="12">
                  <c:v>00</c:v>
                </c:pt>
                <c:pt idx="13">
                  <c:v>04</c:v>
                </c:pt>
                <c:pt idx="14">
                  <c:v>08</c:v>
                </c:pt>
              </c:strCache>
            </c:strRef>
          </c:cat>
          <c:val>
            <c:numRef>
              <c:f>data!$F$6:$F$21</c:f>
              <c:numCache>
                <c:formatCode>General</c:formatCode>
                <c:ptCount val="15"/>
                <c:pt idx="3" formatCode="0">
                  <c:v>69.3</c:v>
                </c:pt>
                <c:pt idx="4" formatCode="0">
                  <c:v>67.8</c:v>
                </c:pt>
                <c:pt idx="5" formatCode="0">
                  <c:v>63</c:v>
                </c:pt>
                <c:pt idx="6" formatCode="0">
                  <c:v>59.2</c:v>
                </c:pt>
                <c:pt idx="7" formatCode="0">
                  <c:v>59.3</c:v>
                </c:pt>
                <c:pt idx="8" formatCode="0">
                  <c:v>59.9</c:v>
                </c:pt>
                <c:pt idx="9" formatCode="0">
                  <c:v>57.4</c:v>
                </c:pt>
                <c:pt idx="10" formatCode="0">
                  <c:v>61.3</c:v>
                </c:pt>
                <c:pt idx="11" formatCode="0">
                  <c:v>54.2</c:v>
                </c:pt>
                <c:pt idx="12" formatCode="0">
                  <c:v>54.7</c:v>
                </c:pt>
                <c:pt idx="13" formatCode="0">
                  <c:v>58.3</c:v>
                </c:pt>
                <c:pt idx="14" formatCode="0.0">
                  <c:v>58.2</c:v>
                </c:pt>
              </c:numCache>
            </c:numRef>
          </c:val>
        </c:ser>
        <c:marker val="1"/>
        <c:axId val="200190208"/>
        <c:axId val="200200192"/>
      </c:lineChart>
      <c:catAx>
        <c:axId val="200190208"/>
        <c:scaling>
          <c:orientation val="minMax"/>
        </c:scaling>
        <c:axPos val="b"/>
        <c:numFmt formatCode="0" sourceLinked="1"/>
        <c:tickLblPos val="nextTo"/>
        <c:spPr>
          <a:ln>
            <a:solidFill>
              <a:schemeClr val="tx1"/>
            </a:solidFill>
          </a:ln>
        </c:spPr>
        <c:txPr>
          <a:bodyPr rot="0" vert="horz"/>
          <a:lstStyle/>
          <a:p>
            <a:pPr>
              <a:defRPr sz="800" b="0">
                <a:latin typeface="Arial" pitchFamily="34" charset="0"/>
                <a:cs typeface="Arial" pitchFamily="34" charset="0"/>
              </a:defRPr>
            </a:pPr>
            <a:endParaRPr lang="en-US"/>
          </a:p>
        </c:txPr>
        <c:crossAx val="200200192"/>
        <c:crosses val="autoZero"/>
        <c:lblAlgn val="ctr"/>
        <c:lblOffset val="0"/>
        <c:tickLblSkip val="1"/>
      </c:catAx>
      <c:valAx>
        <c:axId val="200200192"/>
        <c:scaling>
          <c:orientation val="minMax"/>
          <c:max val="81"/>
          <c:min val="40"/>
        </c:scaling>
        <c:axPos val="r"/>
        <c:majorGridlines/>
        <c:numFmt formatCode="0" sourceLinked="1"/>
        <c:tickLblPos val="nextTo"/>
        <c:spPr>
          <a:ln>
            <a:noFill/>
          </a:ln>
        </c:spPr>
        <c:txPr>
          <a:bodyPr/>
          <a:lstStyle/>
          <a:p>
            <a:pPr>
              <a:defRPr sz="800" b="1"/>
            </a:pPr>
            <a:endParaRPr lang="en-US"/>
          </a:p>
        </c:txPr>
        <c:crossAx val="200190208"/>
        <c:crosses val="max"/>
        <c:crossBetween val="midCat"/>
        <c:majorUnit val="10"/>
      </c:valAx>
    </c:plotArea>
    <c:plotVisOnly val="1"/>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4th</a:t>
            </a:r>
            <a:r>
              <a:rPr lang="en-US" sz="900" baseline="0"/>
              <a:t> Grade Reading Scores</a:t>
            </a:r>
            <a:endParaRPr lang="en-US" sz="900"/>
          </a:p>
        </c:rich>
      </c:tx>
      <c:layout>
        <c:manualLayout>
          <c:xMode val="edge"/>
          <c:yMode val="edge"/>
          <c:x val="2.1248906386701883E-3"/>
          <c:y val="4.6296296296296632E-3"/>
        </c:manualLayout>
      </c:layout>
    </c:title>
    <c:plotArea>
      <c:layout>
        <c:manualLayout>
          <c:layoutTarget val="inner"/>
          <c:xMode val="edge"/>
          <c:yMode val="edge"/>
          <c:x val="0.1214193711897124"/>
          <c:y val="0.18158282298046091"/>
          <c:w val="0.77900115563913153"/>
          <c:h val="0.62823928258968065"/>
        </c:manualLayout>
      </c:layout>
      <c:scatterChart>
        <c:scatterStyle val="lineMarker"/>
        <c:ser>
          <c:idx val="0"/>
          <c:order val="0"/>
          <c:tx>
            <c:strRef>
              <c:f>'readings (2)'!$E$10</c:f>
              <c:strCache>
                <c:ptCount val="1"/>
                <c:pt idx="0">
                  <c:v>Average scale score</c:v>
                </c:pt>
              </c:strCache>
            </c:strRef>
          </c:tx>
          <c:spPr>
            <a:ln w="25400">
              <a:solidFill>
                <a:schemeClr val="tx1"/>
              </a:solidFill>
            </a:ln>
          </c:spPr>
          <c:marker>
            <c:symbol val="none"/>
          </c:marker>
          <c:xVal>
            <c:numRef>
              <c:f>'readings (2)'!$D$11:$D$16</c:f>
              <c:numCache>
                <c:formatCode>General</c:formatCode>
                <c:ptCount val="6"/>
                <c:pt idx="0">
                  <c:v>1990</c:v>
                </c:pt>
                <c:pt idx="1">
                  <c:v>1992</c:v>
                </c:pt>
                <c:pt idx="2">
                  <c:v>1994</c:v>
                </c:pt>
                <c:pt idx="3">
                  <c:v>1996</c:v>
                </c:pt>
                <c:pt idx="4">
                  <c:v>1999</c:v>
                </c:pt>
                <c:pt idx="5">
                  <c:v>2004</c:v>
                </c:pt>
              </c:numCache>
            </c:numRef>
          </c:xVal>
          <c:yVal>
            <c:numRef>
              <c:f>'readings (2)'!$E$11:$E$16</c:f>
              <c:numCache>
                <c:formatCode>###0</c:formatCode>
                <c:ptCount val="6"/>
                <c:pt idx="0">
                  <c:v>209.16242235513684</c:v>
                </c:pt>
                <c:pt idx="1">
                  <c:v>210.5235209301174</c:v>
                </c:pt>
                <c:pt idx="2">
                  <c:v>211.02025401037901</c:v>
                </c:pt>
                <c:pt idx="3">
                  <c:v>212.45327650828801</c:v>
                </c:pt>
                <c:pt idx="4">
                  <c:v>211.7475081332544</c:v>
                </c:pt>
                <c:pt idx="5">
                  <c:v>218.67507782427998</c:v>
                </c:pt>
              </c:numCache>
            </c:numRef>
          </c:yVal>
        </c:ser>
        <c:ser>
          <c:idx val="1"/>
          <c:order val="1"/>
          <c:spPr>
            <a:ln>
              <a:noFill/>
            </a:ln>
          </c:spPr>
          <c:marker>
            <c:symbol val="plus"/>
            <c:size val="9"/>
            <c:spPr>
              <a:noFill/>
              <a:ln>
                <a:solidFill>
                  <a:schemeClr val="tx1"/>
                </a:solidFill>
              </a:ln>
            </c:spPr>
          </c:marker>
          <c:dLbls>
            <c:dLbl>
              <c:idx val="0"/>
              <c:tx>
                <c:rich>
                  <a:bodyPr/>
                  <a:lstStyle/>
                  <a:p>
                    <a:pPr>
                      <a:defRPr sz="900" b="0" i="0">
                        <a:solidFill>
                          <a:srgbClr val="000000"/>
                        </a:solidFill>
                        <a:latin typeface="Verdana"/>
                        <a:ea typeface="Verdana"/>
                        <a:cs typeface="Verdana"/>
                      </a:defRPr>
                    </a:pPr>
                    <a:r>
                      <a:rPr lang="en-US">
                        <a:latin typeface="Calibri" pitchFamily="34" charset="0"/>
                      </a:rPr>
                      <a:t>'90</a:t>
                    </a:r>
                  </a:p>
                </c:rich>
              </c:tx>
              <c:spPr/>
              <c:dLblPos val="b"/>
              <c:showVal val="1"/>
            </c:dLbl>
            <c:dLbl>
              <c:idx val="1"/>
              <c:tx>
                <c:strRef>
                  <c:f>readings!$A$12</c:f>
                  <c:strCache>
                    <c:ptCount val="1"/>
                    <c:pt idx="0">
                      <c:v>'92</c:v>
                    </c:pt>
                  </c:strCache>
                </c:strRef>
              </c:tx>
              <c:spPr/>
              <c:txPr>
                <a:bodyPr/>
                <a:lstStyle/>
                <a:p>
                  <a:pPr>
                    <a:defRPr sz="900" b="0" i="0">
                      <a:solidFill>
                        <a:srgbClr val="000000"/>
                      </a:solidFill>
                      <a:latin typeface="Calibri" pitchFamily="34" charset="0"/>
                      <a:ea typeface="Verdana"/>
                      <a:cs typeface="Verdana"/>
                    </a:defRPr>
                  </a:pPr>
                  <a:endParaRPr lang="en-US"/>
                </a:p>
              </c:txPr>
              <c:dLblPos val="b"/>
              <c:showVal val="1"/>
            </c:dLbl>
            <c:dLbl>
              <c:idx val="2"/>
              <c:tx>
                <c:strRef>
                  <c:f>readings!$A$13</c:f>
                  <c:strCache>
                    <c:ptCount val="1"/>
                    <c:pt idx="0">
                      <c:v>'94</c:v>
                    </c:pt>
                  </c:strCache>
                </c:strRef>
              </c:tx>
              <c:spPr/>
              <c:txPr>
                <a:bodyPr/>
                <a:lstStyle/>
                <a:p>
                  <a:pPr>
                    <a:defRPr sz="900" b="0" i="0">
                      <a:solidFill>
                        <a:srgbClr val="000000"/>
                      </a:solidFill>
                      <a:latin typeface="+mn-lt"/>
                      <a:ea typeface="Verdana"/>
                      <a:cs typeface="Verdana"/>
                    </a:defRPr>
                  </a:pPr>
                  <a:endParaRPr lang="en-US"/>
                </a:p>
              </c:txPr>
              <c:dLblPos val="b"/>
              <c:showVal val="1"/>
            </c:dLbl>
            <c:dLbl>
              <c:idx val="3"/>
              <c:tx>
                <c:strRef>
                  <c:f>readings!$A$14</c:f>
                  <c:strCache>
                    <c:ptCount val="1"/>
                    <c:pt idx="0">
                      <c:v>'96</c:v>
                    </c:pt>
                  </c:strCache>
                </c:strRef>
              </c:tx>
              <c:spPr/>
              <c:txPr>
                <a:bodyPr/>
                <a:lstStyle/>
                <a:p>
                  <a:pPr>
                    <a:defRPr sz="900" b="0" i="0">
                      <a:solidFill>
                        <a:srgbClr val="000000"/>
                      </a:solidFill>
                      <a:latin typeface="Calibri" pitchFamily="34" charset="0"/>
                      <a:ea typeface="Verdana"/>
                      <a:cs typeface="Verdana"/>
                    </a:defRPr>
                  </a:pPr>
                  <a:endParaRPr lang="en-US"/>
                </a:p>
              </c:txPr>
              <c:dLblPos val="b"/>
              <c:showVal val="1"/>
            </c:dLbl>
            <c:dLbl>
              <c:idx val="4"/>
              <c:tx>
                <c:strRef>
                  <c:f>readings!$A$15</c:f>
                  <c:strCache>
                    <c:ptCount val="1"/>
                    <c:pt idx="0">
                      <c:v>'99</c:v>
                    </c:pt>
                  </c:strCache>
                </c:strRef>
              </c:tx>
              <c:spPr/>
              <c:txPr>
                <a:bodyPr/>
                <a:lstStyle/>
                <a:p>
                  <a:pPr>
                    <a:defRPr sz="900" b="0" i="0">
                      <a:solidFill>
                        <a:srgbClr val="000000"/>
                      </a:solidFill>
                      <a:latin typeface="+mn-lt"/>
                      <a:ea typeface="Verdana"/>
                      <a:cs typeface="Verdana"/>
                    </a:defRPr>
                  </a:pPr>
                  <a:endParaRPr lang="en-US"/>
                </a:p>
              </c:txPr>
              <c:dLblPos val="b"/>
              <c:showVal val="1"/>
            </c:dLbl>
            <c:dLbl>
              <c:idx val="5"/>
              <c:tx>
                <c:strRef>
                  <c:f>readings!$A$16</c:f>
                  <c:strCache>
                    <c:ptCount val="1"/>
                    <c:pt idx="0">
                      <c:v>'04</c:v>
                    </c:pt>
                  </c:strCache>
                </c:strRef>
              </c:tx>
              <c:spPr/>
              <c:txPr>
                <a:bodyPr/>
                <a:lstStyle/>
                <a:p>
                  <a:pPr>
                    <a:defRPr sz="900" b="0" i="0">
                      <a:solidFill>
                        <a:srgbClr val="000000"/>
                      </a:solidFill>
                      <a:latin typeface="+mn-lt"/>
                      <a:ea typeface="Verdana"/>
                      <a:cs typeface="Verdana"/>
                    </a:defRPr>
                  </a:pPr>
                  <a:endParaRPr lang="en-US"/>
                </a:p>
              </c:txPr>
              <c:dLblPos val="b"/>
              <c:showVal val="1"/>
            </c:dLbl>
            <c:txPr>
              <a:bodyPr/>
              <a:lstStyle/>
              <a:p>
                <a:pPr>
                  <a:defRPr sz="900"/>
                </a:pPr>
                <a:endParaRPr lang="en-US"/>
              </a:p>
            </c:txPr>
            <c:dLblPos val="b"/>
            <c:showVal val="1"/>
          </c:dLbls>
          <c:xVal>
            <c:numRef>
              <c:f>'readings (2)'!$B$11:$B$16</c:f>
              <c:numCache>
                <c:formatCode>General</c:formatCode>
                <c:ptCount val="6"/>
                <c:pt idx="0">
                  <c:v>1990</c:v>
                </c:pt>
                <c:pt idx="1">
                  <c:v>1992</c:v>
                </c:pt>
                <c:pt idx="2">
                  <c:v>1994</c:v>
                </c:pt>
                <c:pt idx="3">
                  <c:v>1996</c:v>
                </c:pt>
                <c:pt idx="4">
                  <c:v>1999</c:v>
                </c:pt>
                <c:pt idx="5">
                  <c:v>2004</c:v>
                </c:pt>
              </c:numCache>
            </c:numRef>
          </c:xVal>
          <c:yVal>
            <c:numRef>
              <c:f>'readings (2)'!$C$11:$C$16</c:f>
              <c:numCache>
                <c:formatCode>General</c:formatCode>
                <c:ptCount val="6"/>
                <c:pt idx="0">
                  <c:v>200</c:v>
                </c:pt>
                <c:pt idx="1">
                  <c:v>200</c:v>
                </c:pt>
                <c:pt idx="2">
                  <c:v>200</c:v>
                </c:pt>
                <c:pt idx="3">
                  <c:v>200</c:v>
                </c:pt>
                <c:pt idx="4">
                  <c:v>200</c:v>
                </c:pt>
                <c:pt idx="5">
                  <c:v>200</c:v>
                </c:pt>
              </c:numCache>
            </c:numRef>
          </c:yVal>
        </c:ser>
        <c:axId val="200390912"/>
        <c:axId val="200392704"/>
      </c:scatterChart>
      <c:valAx>
        <c:axId val="200390912"/>
        <c:scaling>
          <c:orientation val="minMax"/>
          <c:max val="2004"/>
          <c:min val="1990"/>
        </c:scaling>
        <c:axPos val="b"/>
        <c:numFmt formatCode="General" sourceLinked="1"/>
        <c:majorTickMark val="none"/>
        <c:tickLblPos val="none"/>
        <c:spPr>
          <a:ln>
            <a:solidFill>
              <a:schemeClr val="tx1"/>
            </a:solidFill>
          </a:ln>
        </c:spPr>
        <c:txPr>
          <a:bodyPr/>
          <a:lstStyle/>
          <a:p>
            <a:pPr>
              <a:defRPr sz="1800"/>
            </a:pPr>
            <a:endParaRPr lang="en-US"/>
          </a:p>
        </c:txPr>
        <c:crossAx val="200392704"/>
        <c:crosses val="autoZero"/>
        <c:crossBetween val="midCat"/>
      </c:valAx>
      <c:valAx>
        <c:axId val="200392704"/>
        <c:scaling>
          <c:orientation val="minMax"/>
          <c:max val="220"/>
          <c:min val="200"/>
        </c:scaling>
        <c:axPos val="l"/>
        <c:majorGridlines>
          <c:spPr>
            <a:ln w="22225">
              <a:solidFill>
                <a:schemeClr val="bg1"/>
              </a:solidFill>
            </a:ln>
          </c:spPr>
        </c:majorGridlines>
        <c:numFmt formatCode="###0" sourceLinked="1"/>
        <c:tickLblPos val="nextTo"/>
        <c:spPr>
          <a:ln>
            <a:noFill/>
          </a:ln>
        </c:spPr>
        <c:txPr>
          <a:bodyPr/>
          <a:lstStyle/>
          <a:p>
            <a:pPr>
              <a:defRPr sz="900"/>
            </a:pPr>
            <a:endParaRPr lang="en-US"/>
          </a:p>
        </c:txPr>
        <c:crossAx val="200390912"/>
        <c:crosses val="autoZero"/>
        <c:crossBetween val="midCat"/>
        <c:majorUnit val="5"/>
      </c:valAx>
      <c:spPr>
        <a:solidFill>
          <a:schemeClr val="bg1">
            <a:lumMod val="85000"/>
          </a:schemeClr>
        </a:solidFill>
      </c:spPr>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237592460033402"/>
          <c:y val="0.19398458005249475"/>
          <c:w val="0.72043913544897864"/>
          <c:h val="0.61304989729545134"/>
        </c:manualLayout>
      </c:layout>
      <c:barChart>
        <c:barDir val="col"/>
        <c:grouping val="clustered"/>
        <c:ser>
          <c:idx val="0"/>
          <c:order val="0"/>
          <c:spPr>
            <a:solidFill>
              <a:schemeClr val="tx1">
                <a:lumMod val="75000"/>
                <a:lumOff val="25000"/>
              </a:schemeClr>
            </a:solidFill>
            <a:ln>
              <a:noFill/>
            </a:ln>
          </c:spPr>
          <c:dLbls>
            <c:dLbl>
              <c:idx val="0"/>
              <c:tx>
                <c:strRef>
                  <c:f>'Table 171'!$P$56</c:f>
                  <c:strCache>
                    <c:ptCount val="1"/>
                  </c:strCache>
                </c:strRef>
              </c:tx>
              <c:spPr/>
              <c:txPr>
                <a:bodyPr/>
                <a:lstStyle/>
                <a:p>
                  <a:pPr>
                    <a:defRPr sz="1000" b="0" i="0">
                      <a:latin typeface="Courier New"/>
                      <a:ea typeface="Courier New"/>
                      <a:cs typeface="Courier New"/>
                    </a:defRPr>
                  </a:pPr>
                  <a:endParaRPr lang="en-US"/>
                </a:p>
              </c:txPr>
              <c:showVal val="1"/>
            </c:dLbl>
            <c:dLbl>
              <c:idx val="1"/>
              <c:tx>
                <c:strRef>
                  <c:f>'Table 171'!$P$57</c:f>
                  <c:strCache>
                    <c:ptCount val="1"/>
                  </c:strCache>
                </c:strRef>
              </c:tx>
              <c:spPr/>
              <c:txPr>
                <a:bodyPr/>
                <a:lstStyle/>
                <a:p>
                  <a:pPr>
                    <a:defRPr sz="1000" b="0" i="0">
                      <a:latin typeface="Courier New"/>
                      <a:ea typeface="Courier New"/>
                      <a:cs typeface="Courier New"/>
                    </a:defRPr>
                  </a:pPr>
                  <a:endParaRPr lang="en-US"/>
                </a:p>
              </c:txPr>
              <c:showVal val="1"/>
            </c:dLbl>
            <c:dLbl>
              <c:idx val="2"/>
              <c:tx>
                <c:strRef>
                  <c:f>'Table 171'!$P$58</c:f>
                  <c:strCache>
                    <c:ptCount val="1"/>
                  </c:strCache>
                </c:strRef>
              </c:tx>
              <c:spPr/>
              <c:txPr>
                <a:bodyPr/>
                <a:lstStyle/>
                <a:p>
                  <a:pPr>
                    <a:defRPr sz="1000" b="0" i="0">
                      <a:latin typeface="Courier New"/>
                      <a:ea typeface="Courier New"/>
                      <a:cs typeface="Courier New"/>
                    </a:defRPr>
                  </a:pPr>
                  <a:endParaRPr lang="en-US"/>
                </a:p>
              </c:txPr>
              <c:showVal val="1"/>
            </c:dLbl>
            <c:dLbl>
              <c:idx val="3"/>
              <c:tx>
                <c:strRef>
                  <c:f>'Table 171'!$P$59</c:f>
                  <c:strCache>
                    <c:ptCount val="1"/>
                  </c:strCache>
                </c:strRef>
              </c:tx>
              <c:spPr/>
              <c:txPr>
                <a:bodyPr/>
                <a:lstStyle/>
                <a:p>
                  <a:pPr>
                    <a:defRPr sz="1000" b="0" i="0">
                      <a:latin typeface="Courier New"/>
                      <a:ea typeface="Courier New"/>
                      <a:cs typeface="Courier New"/>
                    </a:defRPr>
                  </a:pPr>
                  <a:endParaRPr lang="en-US"/>
                </a:p>
              </c:txPr>
              <c:showVal val="1"/>
            </c:dLbl>
            <c:dLbl>
              <c:idx val="4"/>
              <c:tx>
                <c:strRef>
                  <c:f>'Table 171'!$P$60</c:f>
                  <c:strCache>
                    <c:ptCount val="1"/>
                  </c:strCache>
                </c:strRef>
              </c:tx>
              <c:spPr/>
              <c:txPr>
                <a:bodyPr/>
                <a:lstStyle/>
                <a:p>
                  <a:pPr>
                    <a:defRPr sz="1000" b="0" i="0">
                      <a:latin typeface="Courier New"/>
                      <a:ea typeface="Courier New"/>
                      <a:cs typeface="Courier New"/>
                    </a:defRPr>
                  </a:pPr>
                  <a:endParaRPr lang="en-US"/>
                </a:p>
              </c:txPr>
              <c:showVal val="1"/>
            </c:dLbl>
            <c:dLbl>
              <c:idx val="5"/>
              <c:tx>
                <c:strRef>
                  <c:f>'Table 171'!$P$61</c:f>
                  <c:strCache>
                    <c:ptCount val="1"/>
                  </c:strCache>
                </c:strRef>
              </c:tx>
              <c:spPr/>
              <c:txPr>
                <a:bodyPr/>
                <a:lstStyle/>
                <a:p>
                  <a:pPr>
                    <a:defRPr sz="1000" b="0" i="0">
                      <a:latin typeface="Courier New"/>
                      <a:ea typeface="Courier New"/>
                      <a:cs typeface="Courier New"/>
                    </a:defRPr>
                  </a:pPr>
                  <a:endParaRPr lang="en-US"/>
                </a:p>
              </c:txPr>
              <c:showVal val="1"/>
            </c:dLbl>
            <c:dLbl>
              <c:idx val="6"/>
              <c:tx>
                <c:strRef>
                  <c:f>'Table 171'!$P$62</c:f>
                  <c:strCache>
                    <c:ptCount val="1"/>
                  </c:strCache>
                </c:strRef>
              </c:tx>
              <c:spPr/>
              <c:txPr>
                <a:bodyPr/>
                <a:lstStyle/>
                <a:p>
                  <a:pPr>
                    <a:defRPr sz="1000" b="0" i="0">
                      <a:latin typeface="Courier New"/>
                      <a:ea typeface="Courier New"/>
                      <a:cs typeface="Courier New"/>
                    </a:defRPr>
                  </a:pPr>
                  <a:endParaRPr lang="en-US"/>
                </a:p>
              </c:txPr>
              <c:showVal val="1"/>
            </c:dLbl>
            <c:dLbl>
              <c:idx val="7"/>
              <c:tx>
                <c:strRef>
                  <c:f>'Table 171'!$P$63</c:f>
                  <c:strCache>
                    <c:ptCount val="1"/>
                  </c:strCache>
                </c:strRef>
              </c:tx>
              <c:spPr/>
              <c:txPr>
                <a:bodyPr/>
                <a:lstStyle/>
                <a:p>
                  <a:pPr>
                    <a:defRPr sz="1000" b="0" i="0">
                      <a:latin typeface="Courier New"/>
                      <a:ea typeface="Courier New"/>
                      <a:cs typeface="Courier New"/>
                    </a:defRPr>
                  </a:pPr>
                  <a:endParaRPr lang="en-US"/>
                </a:p>
              </c:txPr>
              <c:showVal val="1"/>
            </c:dLbl>
            <c:dLbl>
              <c:idx val="8"/>
              <c:tx>
                <c:strRef>
                  <c:f>'Table 171'!$P$64</c:f>
                  <c:strCache>
                    <c:ptCount val="1"/>
                  </c:strCache>
                </c:strRef>
              </c:tx>
              <c:spPr/>
              <c:txPr>
                <a:bodyPr/>
                <a:lstStyle/>
                <a:p>
                  <a:pPr>
                    <a:defRPr sz="1000" b="0" i="0">
                      <a:latin typeface="Courier New"/>
                      <a:ea typeface="Courier New"/>
                      <a:cs typeface="Courier New"/>
                    </a:defRPr>
                  </a:pPr>
                  <a:endParaRPr lang="en-US"/>
                </a:p>
              </c:txPr>
              <c:showVal val="1"/>
            </c:dLbl>
            <c:dLbl>
              <c:idx val="9"/>
              <c:tx>
                <c:strRef>
                  <c:f>'Table 171'!$P$65</c:f>
                  <c:strCache>
                    <c:ptCount val="1"/>
                  </c:strCache>
                </c:strRef>
              </c:tx>
              <c:spPr/>
              <c:txPr>
                <a:bodyPr/>
                <a:lstStyle/>
                <a:p>
                  <a:pPr>
                    <a:defRPr sz="1000" b="0" i="0">
                      <a:latin typeface="Courier New"/>
                      <a:ea typeface="Courier New"/>
                      <a:cs typeface="Courier New"/>
                    </a:defRPr>
                  </a:pPr>
                  <a:endParaRPr lang="en-US"/>
                </a:p>
              </c:txPr>
              <c:showVal val="1"/>
            </c:dLbl>
            <c:dLbl>
              <c:idx val="10"/>
              <c:tx>
                <c:strRef>
                  <c:f>'Table 171'!$P$66</c:f>
                  <c:strCache>
                    <c:ptCount val="1"/>
                  </c:strCache>
                </c:strRef>
              </c:tx>
              <c:spPr/>
              <c:txPr>
                <a:bodyPr/>
                <a:lstStyle/>
                <a:p>
                  <a:pPr>
                    <a:defRPr sz="1000" b="0" i="0">
                      <a:latin typeface="Courier New"/>
                      <a:ea typeface="Courier New"/>
                      <a:cs typeface="Courier New"/>
                    </a:defRPr>
                  </a:pPr>
                  <a:endParaRPr lang="en-US"/>
                </a:p>
              </c:txPr>
              <c:showVal val="1"/>
            </c:dLbl>
            <c:dLbl>
              <c:idx val="11"/>
              <c:tx>
                <c:strRef>
                  <c:f>'Table 171'!$P$67</c:f>
                  <c:strCache>
                    <c:ptCount val="1"/>
                  </c:strCache>
                </c:strRef>
              </c:tx>
              <c:spPr/>
              <c:txPr>
                <a:bodyPr/>
                <a:lstStyle/>
                <a:p>
                  <a:pPr>
                    <a:defRPr sz="1000" b="0" i="0">
                      <a:latin typeface="Courier New"/>
                      <a:ea typeface="Courier New"/>
                      <a:cs typeface="Courier New"/>
                    </a:defRPr>
                  </a:pPr>
                  <a:endParaRPr lang="en-US"/>
                </a:p>
              </c:txPr>
              <c:showVal val="1"/>
            </c:dLbl>
            <c:dLbl>
              <c:idx val="12"/>
              <c:tx>
                <c:strRef>
                  <c:f>'Table 171'!$P$68</c:f>
                  <c:strCache>
                    <c:ptCount val="1"/>
                  </c:strCache>
                </c:strRef>
              </c:tx>
              <c:spPr/>
              <c:txPr>
                <a:bodyPr/>
                <a:lstStyle/>
                <a:p>
                  <a:pPr>
                    <a:defRPr sz="1000" b="0" i="0">
                      <a:latin typeface="Courier New"/>
                      <a:ea typeface="Courier New"/>
                      <a:cs typeface="Courier New"/>
                    </a:defRPr>
                  </a:pPr>
                  <a:endParaRPr lang="en-US"/>
                </a:p>
              </c:txPr>
              <c:showVal val="1"/>
            </c:dLbl>
            <c:dLbl>
              <c:idx val="13"/>
              <c:tx>
                <c:strRef>
                  <c:f>'Table 171'!$P$69</c:f>
                  <c:strCache>
                    <c:ptCount val="1"/>
                  </c:strCache>
                </c:strRef>
              </c:tx>
              <c:spPr/>
              <c:txPr>
                <a:bodyPr/>
                <a:lstStyle/>
                <a:p>
                  <a:pPr>
                    <a:defRPr sz="1000" b="0" i="0">
                      <a:latin typeface="Courier New"/>
                      <a:ea typeface="Courier New"/>
                      <a:cs typeface="Courier New"/>
                    </a:defRPr>
                  </a:pPr>
                  <a:endParaRPr lang="en-US"/>
                </a:p>
              </c:txPr>
              <c:showVal val="1"/>
            </c:dLbl>
            <c:dLbl>
              <c:idx val="14"/>
              <c:tx>
                <c:strRef>
                  <c:f>'Table 171'!$P$70</c:f>
                  <c:strCache>
                    <c:ptCount val="1"/>
                  </c:strCache>
                </c:strRef>
              </c:tx>
              <c:spPr/>
              <c:txPr>
                <a:bodyPr/>
                <a:lstStyle/>
                <a:p>
                  <a:pPr>
                    <a:defRPr sz="1000" b="0" i="0">
                      <a:latin typeface="Courier New"/>
                      <a:ea typeface="Courier New"/>
                      <a:cs typeface="Courier New"/>
                    </a:defRPr>
                  </a:pPr>
                  <a:endParaRPr lang="en-US"/>
                </a:p>
              </c:txPr>
              <c:showVal val="1"/>
            </c:dLbl>
            <c:dLbl>
              <c:idx val="15"/>
              <c:layout>
                <c:manualLayout>
                  <c:x val="-0.15277777777777779"/>
                  <c:y val="0.37962962962963226"/>
                </c:manualLayout>
              </c:layout>
              <c:tx>
                <c:strRef>
                  <c:f>'Table 171'!$P$71</c:f>
                  <c:strCache>
                    <c:ptCount val="1"/>
                    <c:pt idx="0">
                      <c:v>+24%</c:v>
                    </c:pt>
                  </c:strCache>
                </c:strRef>
              </c:tx>
              <c:spPr>
                <a:solidFill>
                  <a:schemeClr val="bg1"/>
                </a:solidFill>
                <a:ln>
                  <a:solidFill>
                    <a:sysClr val="windowText" lastClr="000000"/>
                  </a:solidFill>
                </a:ln>
              </c:spPr>
              <c:txPr>
                <a:bodyPr/>
                <a:lstStyle/>
                <a:p>
                  <a:pPr>
                    <a:defRPr sz="900" b="1" i="0">
                      <a:latin typeface="Courier New"/>
                      <a:ea typeface="Courier New"/>
                      <a:cs typeface="Courier New"/>
                    </a:defRPr>
                  </a:pPr>
                  <a:endParaRPr lang="en-US"/>
                </a:p>
              </c:txPr>
              <c:showVal val="1"/>
            </c:dLbl>
            <c:showVal val="1"/>
          </c:dLbls>
          <c:cat>
            <c:strRef>
              <c:f>'Table 171'!$B$56:$M$71</c:f>
              <c:strCache>
                <c:ptCount val="16"/>
                <c:pt idx="0">
                  <c:v>'90</c:v>
                </c:pt>
                <c:pt idx="1">
                  <c:v>'91</c:v>
                </c:pt>
                <c:pt idx="2">
                  <c:v>'92</c:v>
                </c:pt>
                <c:pt idx="3">
                  <c:v>'93</c:v>
                </c:pt>
                <c:pt idx="4">
                  <c:v>'94</c:v>
                </c:pt>
                <c:pt idx="5">
                  <c:v>'95</c:v>
                </c:pt>
                <c:pt idx="6">
                  <c:v>'96</c:v>
                </c:pt>
                <c:pt idx="7">
                  <c:v>'97</c:v>
                </c:pt>
                <c:pt idx="8">
                  <c:v>'98</c:v>
                </c:pt>
                <c:pt idx="9">
                  <c:v>'99</c:v>
                </c:pt>
                <c:pt idx="10">
                  <c:v>'00</c:v>
                </c:pt>
                <c:pt idx="11">
                  <c:v>'01</c:v>
                </c:pt>
                <c:pt idx="12">
                  <c:v>'02</c:v>
                </c:pt>
                <c:pt idx="13">
                  <c:v>'03</c:v>
                </c:pt>
                <c:pt idx="14">
                  <c:v>'04</c:v>
                </c:pt>
                <c:pt idx="15">
                  <c:v>'05</c:v>
                </c:pt>
              </c:strCache>
            </c:strRef>
          </c:cat>
          <c:val>
            <c:numRef>
              <c:f>'Table 171'!$N$56:$N$71</c:f>
              <c:numCache>
                <c:formatCode>#,##0</c:formatCode>
                <c:ptCount val="16"/>
                <c:pt idx="0">
                  <c:v>7464.148210134209</c:v>
                </c:pt>
                <c:pt idx="1">
                  <c:v>7472.1853001327981</c:v>
                </c:pt>
                <c:pt idx="2">
                  <c:v>7419.4512562555556</c:v>
                </c:pt>
                <c:pt idx="3">
                  <c:v>7389.9709140195764</c:v>
                </c:pt>
                <c:pt idx="4">
                  <c:v>7437.352328992104</c:v>
                </c:pt>
                <c:pt idx="5">
                  <c:v>7503.6600536570459</c:v>
                </c:pt>
                <c:pt idx="6">
                  <c:v>7517.0414435971024</c:v>
                </c:pt>
                <c:pt idx="7">
                  <c:v>7609.429426861986</c:v>
                </c:pt>
                <c:pt idx="8">
                  <c:v>7811.4321374521123</c:v>
                </c:pt>
                <c:pt idx="9">
                  <c:v>8074.1942155084034</c:v>
                </c:pt>
                <c:pt idx="10">
                  <c:v>8335.0286672010661</c:v>
                </c:pt>
                <c:pt idx="11">
                  <c:v>8604.2361735212471</c:v>
                </c:pt>
                <c:pt idx="12">
                  <c:v>8852.5236233125324</c:v>
                </c:pt>
                <c:pt idx="13">
                  <c:v>9017.3065647929889</c:v>
                </c:pt>
                <c:pt idx="14">
                  <c:v>9116.3288119507051</c:v>
                </c:pt>
                <c:pt idx="15">
                  <c:v>9265.8774965141238</c:v>
                </c:pt>
              </c:numCache>
            </c:numRef>
          </c:val>
        </c:ser>
        <c:gapWidth val="90"/>
        <c:axId val="205662080"/>
        <c:axId val="205663616"/>
      </c:barChart>
      <c:catAx>
        <c:axId val="205662080"/>
        <c:scaling>
          <c:orientation val="minMax"/>
        </c:scaling>
        <c:axPos val="b"/>
        <c:numFmt formatCode="General" sourceLinked="1"/>
        <c:majorTickMark val="none"/>
        <c:tickLblPos val="nextTo"/>
        <c:txPr>
          <a:bodyPr/>
          <a:lstStyle/>
          <a:p>
            <a:pPr>
              <a:defRPr sz="800"/>
            </a:pPr>
            <a:endParaRPr lang="en-US"/>
          </a:p>
        </c:txPr>
        <c:crossAx val="205663616"/>
        <c:crosses val="autoZero"/>
        <c:auto val="1"/>
        <c:lblAlgn val="ctr"/>
        <c:lblOffset val="0"/>
        <c:tickLblSkip val="5"/>
      </c:catAx>
      <c:valAx>
        <c:axId val="205663616"/>
        <c:scaling>
          <c:orientation val="minMax"/>
        </c:scaling>
        <c:axPos val="l"/>
        <c:majorGridlines>
          <c:spPr>
            <a:ln>
              <a:solidFill>
                <a:schemeClr val="bg1"/>
              </a:solidFill>
            </a:ln>
          </c:spPr>
        </c:majorGridlines>
        <c:numFmt formatCode="#,##0" sourceLinked="1"/>
        <c:tickLblPos val="nextTo"/>
        <c:spPr>
          <a:ln>
            <a:noFill/>
          </a:ln>
        </c:spPr>
        <c:txPr>
          <a:bodyPr/>
          <a:lstStyle/>
          <a:p>
            <a:pPr>
              <a:defRPr sz="800"/>
            </a:pPr>
            <a:endParaRPr lang="en-US"/>
          </a:p>
        </c:txPr>
        <c:crossAx val="205662080"/>
        <c:crosses val="autoZero"/>
        <c:crossBetween val="between"/>
        <c:majorUnit val="2500"/>
      </c:valAx>
      <c:spPr>
        <a:solidFill>
          <a:schemeClr val="bg1">
            <a:lumMod val="85000"/>
          </a:schemeClr>
        </a:solidFill>
        <a:ln>
          <a:noFill/>
        </a:ln>
      </c:spPr>
    </c:plotArea>
    <c:plotVisOnly val="1"/>
    <c:dispBlanksAs val="gap"/>
  </c:chart>
  <c:spPr>
    <a:solidFill>
      <a:schemeClr val="bg1"/>
    </a:solidFill>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298198520639582"/>
          <c:y val="0.20765009842519691"/>
          <c:w val="0.85701801479360562"/>
          <c:h val="0.57947588582677168"/>
        </c:manualLayout>
      </c:layout>
      <c:scatterChart>
        <c:scatterStyle val="lineMarker"/>
        <c:ser>
          <c:idx val="0"/>
          <c:order val="0"/>
          <c:tx>
            <c:strRef>
              <c:f>'8th math'!$K$35</c:f>
              <c:strCache>
                <c:ptCount val="1"/>
                <c:pt idx="0">
                  <c:v>percent</c:v>
                </c:pt>
              </c:strCache>
            </c:strRef>
          </c:tx>
          <c:spPr>
            <a:ln>
              <a:solidFill>
                <a:sysClr val="windowText" lastClr="000000"/>
              </a:solidFill>
            </a:ln>
          </c:spPr>
          <c:marker>
            <c:symbol val="circle"/>
            <c:size val="3"/>
            <c:spPr>
              <a:solidFill>
                <a:schemeClr val="tx1"/>
              </a:solidFill>
              <a:ln>
                <a:solidFill>
                  <a:sysClr val="windowText" lastClr="000000"/>
                </a:solidFill>
              </a:ln>
            </c:spPr>
          </c:marker>
          <c:dLbls>
            <c:dLbl>
              <c:idx val="0"/>
              <c:layout>
                <c:manualLayout>
                  <c:x val="-3.586832895888014E-2"/>
                  <c:y val="-7.1467941507311894E-2"/>
                </c:manualLayout>
              </c:layout>
              <c:dLblPos val="r"/>
              <c:showVal val="1"/>
            </c:dLbl>
            <c:dLbl>
              <c:idx val="4"/>
              <c:layout>
                <c:manualLayout>
                  <c:x val="2.7777777777778078E-2"/>
                  <c:y val="0.1666666666666666"/>
                </c:manualLayout>
              </c:layout>
              <c:tx>
                <c:rich>
                  <a:bodyPr/>
                  <a:lstStyle/>
                  <a:p>
                    <a:pPr>
                      <a:defRPr sz="900" b="1"/>
                    </a:pPr>
                    <a:r>
                      <a:rPr lang="en-US" sz="900" b="1"/>
                      <a:t>+70%</a:t>
                    </a:r>
                  </a:p>
                </c:rich>
              </c:tx>
              <c:spPr>
                <a:solidFill>
                  <a:schemeClr val="bg1"/>
                </a:solidFill>
                <a:ln>
                  <a:solidFill>
                    <a:sysClr val="windowText" lastClr="000000"/>
                  </a:solidFill>
                </a:ln>
              </c:spPr>
              <c:showVal val="1"/>
            </c:dLbl>
            <c:dLbl>
              <c:idx val="5"/>
              <c:layout>
                <c:manualLayout>
                  <c:x val="-1.4828484981044034E-2"/>
                  <c:y val="-7.3078885972586785E-2"/>
                </c:manualLayout>
              </c:layout>
              <c:dLblPos val="r"/>
              <c:showVal val="1"/>
            </c:dLbl>
            <c:delete val="1"/>
            <c:txPr>
              <a:bodyPr/>
              <a:lstStyle/>
              <a:p>
                <a:pPr>
                  <a:defRPr sz="800" b="1"/>
                </a:pPr>
                <a:endParaRPr lang="en-US"/>
              </a:p>
            </c:txPr>
          </c:dLbls>
          <c:xVal>
            <c:numRef>
              <c:f>'8th math'!$J$36:$J$41</c:f>
              <c:numCache>
                <c:formatCode>General</c:formatCode>
                <c:ptCount val="6"/>
                <c:pt idx="0">
                  <c:v>1990</c:v>
                </c:pt>
                <c:pt idx="1">
                  <c:v>1992</c:v>
                </c:pt>
                <c:pt idx="2">
                  <c:v>1994</c:v>
                </c:pt>
                <c:pt idx="3">
                  <c:v>1996</c:v>
                </c:pt>
                <c:pt idx="4">
                  <c:v>1999</c:v>
                </c:pt>
                <c:pt idx="5">
                  <c:v>2004</c:v>
                </c:pt>
              </c:numCache>
            </c:numRef>
          </c:xVal>
          <c:yVal>
            <c:numRef>
              <c:f>'8th math'!$K$36:$K$41</c:f>
              <c:numCache>
                <c:formatCode>General</c:formatCode>
                <c:ptCount val="6"/>
                <c:pt idx="0">
                  <c:v>17</c:v>
                </c:pt>
                <c:pt idx="1">
                  <c:v>19</c:v>
                </c:pt>
                <c:pt idx="2">
                  <c:v>21</c:v>
                </c:pt>
                <c:pt idx="3">
                  <c:v>21</c:v>
                </c:pt>
                <c:pt idx="4">
                  <c:v>23</c:v>
                </c:pt>
                <c:pt idx="5">
                  <c:v>29</c:v>
                </c:pt>
              </c:numCache>
            </c:numRef>
          </c:yVal>
        </c:ser>
        <c:ser>
          <c:idx val="1"/>
          <c:order val="1"/>
          <c:spPr>
            <a:ln w="9525">
              <a:solidFill>
                <a:schemeClr val="tx2">
                  <a:lumMod val="75000"/>
                </a:schemeClr>
              </a:solidFill>
            </a:ln>
          </c:spPr>
          <c:marker>
            <c:symbol val="plus"/>
            <c:size val="7"/>
            <c:spPr>
              <a:noFill/>
              <a:ln w="9525">
                <a:solidFill>
                  <a:schemeClr val="tx1"/>
                </a:solidFill>
              </a:ln>
            </c:spPr>
          </c:marker>
          <c:dLbls>
            <c:dLbl>
              <c:idx val="0"/>
              <c:tx>
                <c:strRef>
                  <c:f>'8th math'!$L$36</c:f>
                  <c:strCache>
                    <c:ptCount val="1"/>
                    <c:pt idx="0">
                      <c:v>'90</c:v>
                    </c:pt>
                  </c:strCache>
                </c:strRef>
              </c:tx>
              <c:spPr/>
              <c:txPr>
                <a:bodyPr/>
                <a:lstStyle/>
                <a:p>
                  <a:pPr>
                    <a:defRPr sz="800" b="0" i="0">
                      <a:latin typeface="+mn-lt"/>
                      <a:ea typeface="Courier"/>
                      <a:cs typeface="Courier"/>
                    </a:defRPr>
                  </a:pPr>
                  <a:endParaRPr lang="en-US"/>
                </a:p>
              </c:txPr>
              <c:dLblPos val="b"/>
              <c:showVal val="1"/>
            </c:dLbl>
            <c:dLbl>
              <c:idx val="1"/>
              <c:tx>
                <c:strRef>
                  <c:f>'8th math'!$L$37</c:f>
                  <c:strCache>
                    <c:ptCount val="1"/>
                    <c:pt idx="0">
                      <c:v>'92</c:v>
                    </c:pt>
                  </c:strCache>
                </c:strRef>
              </c:tx>
              <c:spPr/>
              <c:txPr>
                <a:bodyPr/>
                <a:lstStyle/>
                <a:p>
                  <a:pPr>
                    <a:defRPr sz="800" b="0" i="0">
                      <a:latin typeface="+mn-lt"/>
                      <a:ea typeface="Courier"/>
                      <a:cs typeface="Courier"/>
                    </a:defRPr>
                  </a:pPr>
                  <a:endParaRPr lang="en-US"/>
                </a:p>
              </c:txPr>
              <c:dLblPos val="b"/>
              <c:showVal val="1"/>
            </c:dLbl>
            <c:dLbl>
              <c:idx val="2"/>
              <c:tx>
                <c:strRef>
                  <c:f>'8th math'!$L$38</c:f>
                  <c:strCache>
                    <c:ptCount val="1"/>
                    <c:pt idx="0">
                      <c:v>'94</c:v>
                    </c:pt>
                  </c:strCache>
                </c:strRef>
              </c:tx>
              <c:spPr/>
              <c:txPr>
                <a:bodyPr/>
                <a:lstStyle/>
                <a:p>
                  <a:pPr>
                    <a:defRPr sz="800" b="0" i="0">
                      <a:latin typeface="+mn-lt"/>
                      <a:ea typeface="Courier"/>
                      <a:cs typeface="Courier"/>
                    </a:defRPr>
                  </a:pPr>
                  <a:endParaRPr lang="en-US"/>
                </a:p>
              </c:txPr>
              <c:dLblPos val="b"/>
              <c:showVal val="1"/>
            </c:dLbl>
            <c:dLbl>
              <c:idx val="3"/>
              <c:tx>
                <c:strRef>
                  <c:f>'8th math'!$L$39</c:f>
                  <c:strCache>
                    <c:ptCount val="1"/>
                    <c:pt idx="0">
                      <c:v>'96</c:v>
                    </c:pt>
                  </c:strCache>
                </c:strRef>
              </c:tx>
              <c:spPr/>
              <c:txPr>
                <a:bodyPr/>
                <a:lstStyle/>
                <a:p>
                  <a:pPr>
                    <a:defRPr sz="800" b="0" i="0">
                      <a:latin typeface="+mn-lt"/>
                      <a:ea typeface="Courier"/>
                      <a:cs typeface="Courier"/>
                    </a:defRPr>
                  </a:pPr>
                  <a:endParaRPr lang="en-US"/>
                </a:p>
              </c:txPr>
              <c:dLblPos val="b"/>
              <c:showVal val="1"/>
            </c:dLbl>
            <c:dLbl>
              <c:idx val="4"/>
              <c:tx>
                <c:strRef>
                  <c:f>'8th math'!$L$40</c:f>
                  <c:strCache>
                    <c:ptCount val="1"/>
                    <c:pt idx="0">
                      <c:v>'99</c:v>
                    </c:pt>
                  </c:strCache>
                </c:strRef>
              </c:tx>
              <c:spPr/>
              <c:txPr>
                <a:bodyPr/>
                <a:lstStyle/>
                <a:p>
                  <a:pPr>
                    <a:defRPr sz="800" b="0" i="0">
                      <a:latin typeface="+mn-lt"/>
                      <a:ea typeface="Courier"/>
                      <a:cs typeface="Courier"/>
                    </a:defRPr>
                  </a:pPr>
                  <a:endParaRPr lang="en-US"/>
                </a:p>
              </c:txPr>
              <c:dLblPos val="b"/>
              <c:showVal val="1"/>
            </c:dLbl>
            <c:dLbl>
              <c:idx val="5"/>
              <c:tx>
                <c:strRef>
                  <c:f>'8th math'!$L$41</c:f>
                  <c:strCache>
                    <c:ptCount val="1"/>
                    <c:pt idx="0">
                      <c:v>'04</c:v>
                    </c:pt>
                  </c:strCache>
                </c:strRef>
              </c:tx>
              <c:spPr/>
              <c:txPr>
                <a:bodyPr/>
                <a:lstStyle/>
                <a:p>
                  <a:pPr>
                    <a:defRPr sz="800" b="0" i="0">
                      <a:latin typeface="+mn-lt"/>
                      <a:ea typeface="Courier"/>
                      <a:cs typeface="Courier"/>
                    </a:defRPr>
                  </a:pPr>
                  <a:endParaRPr lang="en-US"/>
                </a:p>
              </c:txPr>
              <c:dLblPos val="b"/>
              <c:showVal val="1"/>
            </c:dLbl>
            <c:txPr>
              <a:bodyPr/>
              <a:lstStyle/>
              <a:p>
                <a:pPr>
                  <a:defRPr sz="800">
                    <a:latin typeface="+mn-lt"/>
                  </a:defRPr>
                </a:pPr>
                <a:endParaRPr lang="en-US"/>
              </a:p>
            </c:txPr>
            <c:dLblPos val="b"/>
            <c:showVal val="1"/>
          </c:dLbls>
          <c:xVal>
            <c:numRef>
              <c:f>'8th math'!$J$36:$J$41</c:f>
              <c:numCache>
                <c:formatCode>General</c:formatCode>
                <c:ptCount val="6"/>
                <c:pt idx="0">
                  <c:v>1990</c:v>
                </c:pt>
                <c:pt idx="1">
                  <c:v>1992</c:v>
                </c:pt>
                <c:pt idx="2">
                  <c:v>1994</c:v>
                </c:pt>
                <c:pt idx="3">
                  <c:v>1996</c:v>
                </c:pt>
                <c:pt idx="4">
                  <c:v>1999</c:v>
                </c:pt>
                <c:pt idx="5">
                  <c:v>2004</c:v>
                </c:pt>
              </c:numCache>
            </c:numRef>
          </c:xVal>
          <c:yVal>
            <c:numRef>
              <c:f>'8th math'!$M$36:$M$41</c:f>
              <c:numCache>
                <c:formatCode>General</c:formatCode>
                <c:ptCount val="6"/>
                <c:pt idx="0">
                  <c:v>0</c:v>
                </c:pt>
                <c:pt idx="1">
                  <c:v>0</c:v>
                </c:pt>
                <c:pt idx="2">
                  <c:v>0</c:v>
                </c:pt>
                <c:pt idx="3">
                  <c:v>0</c:v>
                </c:pt>
                <c:pt idx="4">
                  <c:v>0</c:v>
                </c:pt>
                <c:pt idx="5">
                  <c:v>0</c:v>
                </c:pt>
              </c:numCache>
            </c:numRef>
          </c:yVal>
        </c:ser>
        <c:axId val="207293056"/>
        <c:axId val="207425920"/>
      </c:scatterChart>
      <c:valAx>
        <c:axId val="207293056"/>
        <c:scaling>
          <c:orientation val="minMax"/>
          <c:max val="2005"/>
          <c:min val="1990"/>
        </c:scaling>
        <c:axPos val="b"/>
        <c:numFmt formatCode="General" sourceLinked="1"/>
        <c:majorTickMark val="none"/>
        <c:tickLblPos val="none"/>
        <c:txPr>
          <a:bodyPr rot="0" vert="horz"/>
          <a:lstStyle/>
          <a:p>
            <a:pPr>
              <a:defRPr sz="900" b="0" i="0" u="none" strike="noStrike" baseline="0">
                <a:solidFill>
                  <a:srgbClr val="000000"/>
                </a:solidFill>
                <a:latin typeface="Calibri"/>
                <a:ea typeface="Calibri"/>
                <a:cs typeface="Calibri"/>
              </a:defRPr>
            </a:pPr>
            <a:endParaRPr lang="en-US"/>
          </a:p>
        </c:txPr>
        <c:crossAx val="207425920"/>
        <c:crosses val="autoZero"/>
        <c:crossBetween val="midCat"/>
        <c:majorUnit val="2"/>
      </c:valAx>
      <c:valAx>
        <c:axId val="207425920"/>
        <c:scaling>
          <c:orientation val="minMax"/>
          <c:max val="30"/>
        </c:scaling>
        <c:axPos val="l"/>
        <c:majorGridlines>
          <c:spPr>
            <a:ln>
              <a:solidFill>
                <a:sysClr val="window" lastClr="FFFFFF"/>
              </a:solidFill>
            </a:ln>
          </c:spPr>
        </c:majorGridlines>
        <c:numFmt formatCode="General" sourceLinked="1"/>
        <c:tickLblPos val="nextTo"/>
        <c:spPr>
          <a:ln>
            <a:noFill/>
          </a:ln>
        </c:spPr>
        <c:txPr>
          <a:bodyPr/>
          <a:lstStyle/>
          <a:p>
            <a:pPr>
              <a:defRPr sz="800"/>
            </a:pPr>
            <a:endParaRPr lang="en-US"/>
          </a:p>
        </c:txPr>
        <c:crossAx val="207293056"/>
        <c:crosses val="autoZero"/>
        <c:crossBetween val="midCat"/>
        <c:majorUnit val="10"/>
      </c:valAx>
      <c:spPr>
        <a:solidFill>
          <a:sysClr val="window" lastClr="FFFFFF">
            <a:lumMod val="85000"/>
          </a:sysClr>
        </a:solidFill>
        <a:ln>
          <a:noFill/>
        </a:ln>
      </c:spPr>
    </c:plotArea>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1</cdr:x>
      <cdr:y>0.22764</cdr:y>
    </cdr:to>
    <cdr:sp macro="" textlink="">
      <cdr:nvSpPr>
        <cdr:cNvPr id="2" name="TextBox 1"/>
        <cdr:cNvSpPr txBox="1"/>
      </cdr:nvSpPr>
      <cdr:spPr>
        <a:xfrm xmlns:a="http://schemas.openxmlformats.org/drawingml/2006/main">
          <a:off x="0" y="0"/>
          <a:ext cx="4439484" cy="373769"/>
        </a:xfrm>
        <a:prstGeom xmlns:a="http://schemas.openxmlformats.org/drawingml/2006/main" prst="rect">
          <a:avLst/>
        </a:prstGeom>
        <a:noFill xmlns:a="http://schemas.openxmlformats.org/drawingml/2006/main"/>
      </cdr:spPr>
      <cdr:txBody>
        <a:bodyPr xmlns:a="http://schemas.openxmlformats.org/drawingml/2006/main" vertOverflow="clip" wrap="square" rtlCol="0" anchor="t"/>
        <a:lstStyle xmlns:a="http://schemas.openxmlformats.org/drawingml/2006/main"/>
        <a:p xmlns:a="http://schemas.openxmlformats.org/drawingml/2006/main">
          <a:r>
            <a:rPr lang="en-US" sz="1000" b="0">
              <a:solidFill>
                <a:sysClr val="windowText" lastClr="000000"/>
              </a:solidFill>
            </a:rPr>
            <a:t>Robbery Rates, Ten Largest Cities, 1985-2007</a:t>
          </a:r>
          <a:r>
            <a:rPr lang="en-US" sz="800">
              <a:solidFill>
                <a:sysClr val="windowText" lastClr="000000"/>
              </a:solidFill>
            </a:rPr>
            <a:t/>
          </a:r>
          <a:br>
            <a:rPr lang="en-US" sz="800">
              <a:solidFill>
                <a:sysClr val="windowText" lastClr="000000"/>
              </a:solidFill>
            </a:rPr>
          </a:br>
          <a:r>
            <a:rPr lang="en-US" sz="800">
              <a:solidFill>
                <a:sysClr val="windowText" lastClr="000000"/>
              </a:solidFill>
            </a:rPr>
            <a:t>*BJS: Data Online</a:t>
          </a:r>
        </a:p>
      </cdr:txBody>
    </cdr:sp>
  </cdr:relSizeAnchor>
  <cdr:relSizeAnchor xmlns:cdr="http://schemas.openxmlformats.org/drawingml/2006/chartDrawing">
    <cdr:from>
      <cdr:x>0.03777</cdr:x>
      <cdr:y>0.59986</cdr:y>
    </cdr:from>
    <cdr:to>
      <cdr:x>0.09355</cdr:x>
      <cdr:y>0.70763</cdr:y>
    </cdr:to>
    <cdr:sp macro="" textlink="">
      <cdr:nvSpPr>
        <cdr:cNvPr id="3" name="TextBox 2"/>
        <cdr:cNvSpPr txBox="1"/>
      </cdr:nvSpPr>
      <cdr:spPr>
        <a:xfrm xmlns:a="http://schemas.openxmlformats.org/drawingml/2006/main">
          <a:off x="167640" y="1188450"/>
          <a:ext cx="247588" cy="213514"/>
        </a:xfrm>
        <a:prstGeom xmlns:a="http://schemas.openxmlformats.org/drawingml/2006/main" prst="rect">
          <a:avLst/>
        </a:prstGeom>
        <a:solidFill xmlns:a="http://schemas.openxmlformats.org/drawingml/2006/main">
          <a:schemeClr val="accent1">
            <a:lumMod val="50000"/>
          </a:schemeClr>
        </a:solidFill>
      </cdr:spPr>
      <cdr:txBody>
        <a:bodyPr xmlns:a="http://schemas.openxmlformats.org/drawingml/2006/main" vertOverflow="clip" wrap="square" lIns="0" tIns="0" rIns="0" bIns="0" rtlCol="0" anchor="ctr"/>
        <a:lstStyle xmlns:a="http://schemas.openxmlformats.org/drawingml/2006/main"/>
        <a:p xmlns:a="http://schemas.openxmlformats.org/drawingml/2006/main">
          <a:pPr algn="ctr"/>
          <a:r>
            <a:rPr lang="en-US" sz="600" b="1">
              <a:solidFill>
                <a:schemeClr val="bg1"/>
              </a:solidFill>
            </a:rPr>
            <a:t>High</a:t>
          </a:r>
          <a:br>
            <a:rPr lang="en-US" sz="600" b="1">
              <a:solidFill>
                <a:schemeClr val="bg1"/>
              </a:solidFill>
            </a:rPr>
          </a:br>
          <a:r>
            <a:rPr lang="en-US" sz="600" b="1">
              <a:solidFill>
                <a:schemeClr val="bg1"/>
              </a:solidFill>
            </a:rPr>
            <a:t>Low</a:t>
          </a:r>
        </a:p>
      </cdr:txBody>
    </cdr:sp>
  </cdr:relSizeAnchor>
</c:userShapes>
</file>

<file path=word/drawings/drawing2.xml><?xml version="1.0" encoding="utf-8"?>
<c:userShapes xmlns:c="http://schemas.openxmlformats.org/drawingml/2006/chart">
  <cdr:relSizeAnchor xmlns:cdr="http://schemas.openxmlformats.org/drawingml/2006/chartDrawing">
    <cdr:from>
      <cdr:x>0.58642</cdr:x>
      <cdr:y>0.02485</cdr:y>
    </cdr:from>
    <cdr:to>
      <cdr:x>0.83766</cdr:x>
      <cdr:y>0.17485</cdr:y>
    </cdr:to>
    <cdr:sp macro="" textlink="">
      <cdr:nvSpPr>
        <cdr:cNvPr id="2" name="TextBox 1"/>
        <cdr:cNvSpPr txBox="1"/>
      </cdr:nvSpPr>
      <cdr:spPr>
        <a:xfrm xmlns:a="http://schemas.openxmlformats.org/drawingml/2006/main">
          <a:off x="2752609" y="59458"/>
          <a:ext cx="1179311" cy="358902"/>
        </a:xfrm>
        <a:prstGeom xmlns:a="http://schemas.openxmlformats.org/drawingml/2006/main" prst="rect">
          <a:avLst/>
        </a:prstGeom>
        <a:ln xmlns:a="http://schemas.openxmlformats.org/drawingml/2006/main">
          <a:solidFill>
            <a:prstClr val="black"/>
          </a:solidFill>
          <a:prstDash val="sysDot"/>
        </a:ln>
      </cdr:spPr>
      <cdr:txBody>
        <a:bodyPr xmlns:a="http://schemas.openxmlformats.org/drawingml/2006/main" vertOverflow="clip" wrap="square" rtlCol="0" anchor="ctr"/>
        <a:lstStyle xmlns:a="http://schemas.openxmlformats.org/drawingml/2006/main"/>
        <a:p xmlns:a="http://schemas.openxmlformats.org/drawingml/2006/main">
          <a:pPr algn="l"/>
          <a:r>
            <a:rPr lang="en-US" sz="1000" b="1">
              <a:latin typeface="+mn-lt"/>
              <a:cs typeface="Arial" pitchFamily="34" charset="0"/>
            </a:rPr>
            <a:t>O</a:t>
          </a:r>
          <a:r>
            <a:rPr lang="en-US" sz="1100"/>
            <a:t>  </a:t>
          </a:r>
          <a:r>
            <a:rPr lang="en-US" sz="800"/>
            <a:t>- population size</a:t>
          </a:r>
        </a:p>
      </cdr:txBody>
    </cdr:sp>
  </cdr:relSizeAnchor>
</c:userShapes>
</file>

<file path=word/drawings/drawing3.xml><?xml version="1.0" encoding="utf-8"?>
<c:userShapes xmlns:c="http://schemas.openxmlformats.org/drawingml/2006/chart">
  <cdr:relSizeAnchor xmlns:cdr="http://schemas.openxmlformats.org/drawingml/2006/chartDrawing">
    <cdr:from>
      <cdr:x>0.00506</cdr:x>
      <cdr:y>0.0023</cdr:y>
    </cdr:from>
    <cdr:to>
      <cdr:x>1</cdr:x>
      <cdr:y>0.19417</cdr:y>
    </cdr:to>
    <cdr:sp macro="" textlink="">
      <cdr:nvSpPr>
        <cdr:cNvPr id="2" name="TextBox 1"/>
        <cdr:cNvSpPr txBox="1"/>
      </cdr:nvSpPr>
      <cdr:spPr>
        <a:xfrm xmlns:a="http://schemas.openxmlformats.org/drawingml/2006/main">
          <a:off x="26545" y="4744"/>
          <a:ext cx="5219575" cy="395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t>Boxplot with outliers: </a:t>
          </a:r>
          <a:br>
            <a:rPr lang="en-US" sz="1000" b="1"/>
          </a:br>
          <a:r>
            <a:rPr lang="en-US" sz="1000" b="1"/>
            <a:t>FBI \UCR Violent Crime Rates: 69 Largest Cities, 1984-07</a:t>
          </a:r>
          <a:br>
            <a:rPr lang="en-US" sz="1000" b="1"/>
          </a:br>
          <a:r>
            <a:rPr lang="en-US" sz="900" b="0"/>
            <a:t>*BJS Data Online</a:t>
          </a:r>
        </a:p>
      </cdr:txBody>
    </cdr:sp>
  </cdr:relSizeAnchor>
  <cdr:relSizeAnchor xmlns:cdr="http://schemas.openxmlformats.org/drawingml/2006/chartDrawing">
    <cdr:from>
      <cdr:x>0</cdr:x>
      <cdr:y>0</cdr:y>
    </cdr:from>
    <cdr:to>
      <cdr:x>0</cdr:x>
      <cdr:y>0</cdr:y>
    </cdr:to>
    <cdr:sp macro="" textlink="">
      <cdr:nvSpPr>
        <cdr:cNvPr id="4" name="Straight Connector 3"/>
        <cdr:cNvSpPr/>
      </cdr:nvSpPr>
      <cdr:spPr>
        <a:xfrm xmlns:a="http://schemas.openxmlformats.org/drawingml/2006/main">
          <a:off x="-609600" y="-54864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0.68335</cdr:x>
      <cdr:y>0.29605</cdr:y>
    </cdr:from>
    <cdr:to>
      <cdr:x>0.72376</cdr:x>
      <cdr:y>0.29723</cdr:y>
    </cdr:to>
    <cdr:sp macro="" textlink="">
      <cdr:nvSpPr>
        <cdr:cNvPr id="6" name="Straight Connector 5"/>
        <cdr:cNvSpPr/>
      </cdr:nvSpPr>
      <cdr:spPr>
        <a:xfrm xmlns:a="http://schemas.openxmlformats.org/drawingml/2006/main" flipV="1">
          <a:off x="4202146" y="891095"/>
          <a:ext cx="248495" cy="3552"/>
        </a:xfrm>
        <a:prstGeom xmlns:a="http://schemas.openxmlformats.org/drawingml/2006/main" prst="line">
          <a:avLst/>
        </a:prstGeom>
        <a:ln xmlns:a="http://schemas.openxmlformats.org/drawingml/2006/main" w="222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0.72122</cdr:x>
      <cdr:y>0.25329</cdr:y>
    </cdr:from>
    <cdr:to>
      <cdr:x>0.90912</cdr:x>
      <cdr:y>0.36387</cdr:y>
    </cdr:to>
    <cdr:sp macro="" textlink="">
      <cdr:nvSpPr>
        <cdr:cNvPr id="7" name="TextBox 6"/>
        <cdr:cNvSpPr txBox="1"/>
      </cdr:nvSpPr>
      <cdr:spPr>
        <a:xfrm xmlns:a="http://schemas.openxmlformats.org/drawingml/2006/main">
          <a:off x="3962385" y="866597"/>
          <a:ext cx="1032327" cy="37833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50" b="0">
              <a:latin typeface="+mn-lt"/>
              <a:ea typeface="+mn-ea"/>
              <a:cs typeface="+mn-cs"/>
            </a:rPr>
            <a:t>New York City</a:t>
          </a:r>
          <a:endParaRPr lang="en-US" sz="1050" b="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0.0105</cdr:y>
    </cdr:from>
    <cdr:to>
      <cdr:x>0.99869</cdr:x>
      <cdr:y>0.14181</cdr:y>
    </cdr:to>
    <cdr:sp macro="" textlink="">
      <cdr:nvSpPr>
        <cdr:cNvPr id="2" name="TextBox 1"/>
        <cdr:cNvSpPr txBox="1"/>
      </cdr:nvSpPr>
      <cdr:spPr>
        <a:xfrm xmlns:a="http://schemas.openxmlformats.org/drawingml/2006/main">
          <a:off x="0" y="21772"/>
          <a:ext cx="2484665" cy="272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Employment Status,  New Jersey Parollees</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0.21692</cdr:y>
    </cdr:to>
    <cdr:sp macro="" textlink="">
      <cdr:nvSpPr>
        <cdr:cNvPr id="2" name="TextBox 1"/>
        <cdr:cNvSpPr txBox="1"/>
      </cdr:nvSpPr>
      <cdr:spPr>
        <a:xfrm xmlns:a="http://schemas.openxmlformats.org/drawingml/2006/main">
          <a:off x="0" y="0"/>
          <a:ext cx="3200400" cy="4958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900" b="1">
              <a:latin typeface="+mn-lt"/>
              <a:ea typeface="+mn-ea"/>
              <a:cs typeface="+mn-cs"/>
            </a:rPr>
            <a:t>Four Measures of Voter Turnout, Presidential Elections, 1952-2008</a:t>
          </a:r>
          <a:r>
            <a:rPr lang="en-US" sz="1200" b="1">
              <a:latin typeface="+mn-lt"/>
              <a:ea typeface="+mn-ea"/>
              <a:cs typeface="+mn-cs"/>
            </a:rPr>
            <a:t/>
          </a:r>
          <a:br>
            <a:rPr lang="en-US" sz="1200" b="1">
              <a:latin typeface="+mn-lt"/>
              <a:ea typeface="+mn-ea"/>
              <a:cs typeface="+mn-cs"/>
            </a:rPr>
          </a:br>
          <a:r>
            <a:rPr lang="en-US" sz="800" b="1"/>
            <a:t>ANES</a:t>
          </a:r>
          <a:r>
            <a:rPr lang="en-US" sz="800" b="1" baseline="0"/>
            <a:t> </a:t>
          </a:r>
          <a:r>
            <a:rPr lang="en-US" sz="800" baseline="0"/>
            <a:t>= American National Election Survey; </a:t>
          </a:r>
          <a:r>
            <a:rPr lang="en-US" sz="800" b="1" baseline="0"/>
            <a:t>V</a:t>
          </a:r>
          <a:r>
            <a:rPr lang="en-US" sz="800" baseline="0"/>
            <a:t>C = Votes Cast;  </a:t>
          </a:r>
          <a:r>
            <a:rPr lang="en-US" sz="800" b="1" baseline="0"/>
            <a:t>RV</a:t>
          </a:r>
          <a:r>
            <a:rPr lang="en-US" sz="800" baseline="0"/>
            <a:t> = Reported Voting</a:t>
          </a:r>
          <a:br>
            <a:rPr lang="en-US" sz="800" baseline="0"/>
          </a:br>
          <a:r>
            <a:rPr lang="en-US" sz="800" baseline="0"/>
            <a:t>                 </a:t>
          </a:r>
          <a:r>
            <a:rPr lang="en-US" sz="800" b="1" baseline="0"/>
            <a:t>VAP</a:t>
          </a:r>
          <a:r>
            <a:rPr lang="en-US" sz="800" baseline="0"/>
            <a:t> = Voting Age Population;   </a:t>
          </a:r>
          <a:r>
            <a:rPr lang="en-US" sz="800" b="1" baseline="0"/>
            <a:t>VEP</a:t>
          </a:r>
          <a:r>
            <a:rPr lang="en-US" sz="800" baseline="0"/>
            <a:t> = Voting-Eligible Population</a:t>
          </a:r>
          <a:endParaRPr lang="en-US" sz="800"/>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0.00369</cdr:x>
      <cdr:y>0</cdr:y>
    </cdr:to>
    <cdr:sp macro="" textlink="">
      <cdr:nvSpPr>
        <cdr:cNvPr id="2" name="TextBox 1"/>
        <cdr:cNvSpPr txBox="1"/>
      </cdr:nvSpPr>
      <cdr:spPr>
        <a:xfrm xmlns:a="http://schemas.openxmlformats.org/drawingml/2006/main">
          <a:off x="0" y="0"/>
          <a:ext cx="3371850"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200" b="1"/>
        </a:p>
      </cdr:txBody>
    </cdr:sp>
  </cdr:relSizeAnchor>
  <cdr:relSizeAnchor xmlns:cdr="http://schemas.openxmlformats.org/drawingml/2006/chartDrawing">
    <cdr:from>
      <cdr:x>0</cdr:x>
      <cdr:y>0</cdr:y>
    </cdr:from>
    <cdr:to>
      <cdr:x>0.94427</cdr:x>
      <cdr:y>0.14063</cdr:y>
    </cdr:to>
    <cdr:sp macro="" textlink="">
      <cdr:nvSpPr>
        <cdr:cNvPr id="3" name="TextBox 2"/>
        <cdr:cNvSpPr txBox="1"/>
      </cdr:nvSpPr>
      <cdr:spPr>
        <a:xfrm xmlns:a="http://schemas.openxmlformats.org/drawingml/2006/main">
          <a:off x="0" y="0"/>
          <a:ext cx="1726881" cy="171450"/>
        </a:xfrm>
        <a:prstGeom xmlns:a="http://schemas.openxmlformats.org/drawingml/2006/main" prst="rect">
          <a:avLst/>
        </a:prstGeom>
      </cdr:spPr>
      <cdr:txBody>
        <a:bodyPr xmlns:a="http://schemas.openxmlformats.org/drawingml/2006/main" vertOverflow="clip" wrap="square" tIns="0" bIns="0" rtlCol="0" anchor="t"/>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b="1">
              <a:latin typeface="+mn-lt"/>
              <a:ea typeface="+mn-ea"/>
              <a:cs typeface="+mn-cs"/>
            </a:rPr>
            <a:t>Per Pupil Spending,  (2007</a:t>
          </a:r>
          <a:r>
            <a:rPr lang="en-US" sz="900" b="1" baseline="0">
              <a:latin typeface="+mn-lt"/>
              <a:ea typeface="+mn-ea"/>
              <a:cs typeface="+mn-cs"/>
            </a:rPr>
            <a:t> $)</a:t>
          </a:r>
          <a:endParaRPr lang="en-US" sz="900" b="1">
            <a:latin typeface="+mn-lt"/>
            <a:ea typeface="+mn-ea"/>
            <a:cs typeface="+mn-cs"/>
          </a:endParaRPr>
        </a:p>
        <a:p xmlns:a="http://schemas.openxmlformats.org/drawingml/2006/main">
          <a:endParaRPr lang="en-US" sz="900"/>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a:off x="0" y="0"/>
          <a:ext cx="2886075" cy="428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Percentage of 13 year-olds scoring above 300 on NAEP Mathmatics Exam</a:t>
          </a:r>
        </a:p>
      </cdr:txBody>
    </cdr:sp>
  </cdr:relSizeAnchor>
  <cdr:relSizeAnchor xmlns:cdr="http://schemas.openxmlformats.org/drawingml/2006/chartDrawing">
    <cdr:from>
      <cdr:x>0</cdr:x>
      <cdr:y>0</cdr:y>
    </cdr:from>
    <cdr:to>
      <cdr:x>0.97826</cdr:x>
      <cdr:y>0.18207</cdr:y>
    </cdr:to>
    <cdr:sp macro="" textlink="">
      <cdr:nvSpPr>
        <cdr:cNvPr id="3" name="TextBox 2"/>
        <cdr:cNvSpPr txBox="1"/>
      </cdr:nvSpPr>
      <cdr:spPr>
        <a:xfrm xmlns:a="http://schemas.openxmlformats.org/drawingml/2006/main">
          <a:off x="0" y="0"/>
          <a:ext cx="2057400" cy="249727"/>
        </a:xfrm>
        <a:prstGeom xmlns:a="http://schemas.openxmlformats.org/drawingml/2006/main" prst="rect">
          <a:avLst/>
        </a:prstGeom>
      </cdr:spPr>
      <cdr:txBody>
        <a:bodyPr xmlns:a="http://schemas.openxmlformats.org/drawingml/2006/main" vertOverflow="clip" wrap="square" lIns="0" tIns="0" rIns="0" bIns="0" rtlCol="0" anchor="t"/>
        <a:lstStyle xmlns:a="http://schemas.openxmlformats.org/drawingml/2006/main"/>
        <a:p xmlns:a="http://schemas.openxmlformats.org/drawingml/2006/main">
          <a:pPr>
            <a:lnSpc>
              <a:spcPts val="860"/>
            </a:lnSpc>
          </a:pPr>
          <a:r>
            <a:rPr lang="en-US" sz="900" b="1"/>
            <a:t> % 8th</a:t>
          </a:r>
          <a:r>
            <a:rPr lang="en-US" sz="900" b="1" baseline="0"/>
            <a:t> Graders scoring 300+ on NAEP Math</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072A5-1F35-4AF3-A785-581428A5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3845</TotalTime>
  <Pages>18</Pages>
  <Words>2604</Words>
  <Characters>14844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ISU/CAS</Company>
  <LinksUpToDate>false</LinksUpToDate>
  <CharactersWithSpaces>17414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gmklass</dc:creator>
  <cp:keywords/>
  <dc:description/>
  <cp:lastModifiedBy>gmklass</cp:lastModifiedBy>
  <cp:revision>52</cp:revision>
  <cp:lastPrinted>2009-10-15T16:47:00Z</cp:lastPrinted>
  <dcterms:created xsi:type="dcterms:W3CDTF">2009-09-05T16:39:00Z</dcterms:created>
  <dcterms:modified xsi:type="dcterms:W3CDTF">2009-10-15T20:53:00Z</dcterms:modified>
</cp:coreProperties>
</file>