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BE" w:rsidRPr="00D53CBE" w:rsidRDefault="00D53CBE" w:rsidP="00C06189">
      <w:pPr>
        <w:spacing w:line="240" w:lineRule="auto"/>
        <w:jc w:val="both"/>
        <w:rPr>
          <w:sz w:val="18"/>
          <w:szCs w:val="18"/>
        </w:rPr>
      </w:pPr>
      <w:r w:rsidRPr="00D53CBE">
        <w:rPr>
          <w:sz w:val="18"/>
          <w:szCs w:val="18"/>
        </w:rPr>
        <w:t>Friedrich-Schiller-Universität Jena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12.12.2008</w:t>
      </w:r>
    </w:p>
    <w:p w:rsidR="00D53CBE" w:rsidRPr="00D53CBE" w:rsidRDefault="00D53CBE" w:rsidP="00C06189">
      <w:pPr>
        <w:spacing w:line="240" w:lineRule="auto"/>
        <w:jc w:val="both"/>
        <w:rPr>
          <w:sz w:val="18"/>
          <w:szCs w:val="18"/>
        </w:rPr>
      </w:pPr>
      <w:r w:rsidRPr="00D53CBE">
        <w:rPr>
          <w:sz w:val="18"/>
          <w:szCs w:val="18"/>
        </w:rPr>
        <w:t>Institut für Politikwissenschaft</w:t>
      </w:r>
    </w:p>
    <w:p w:rsidR="00D53CBE" w:rsidRDefault="00D53CBE" w:rsidP="00C06189">
      <w:pPr>
        <w:spacing w:line="240" w:lineRule="auto"/>
        <w:jc w:val="both"/>
        <w:rPr>
          <w:sz w:val="18"/>
          <w:szCs w:val="18"/>
        </w:rPr>
      </w:pPr>
      <w:r w:rsidRPr="00D53CBE">
        <w:rPr>
          <w:sz w:val="18"/>
          <w:szCs w:val="18"/>
        </w:rPr>
        <w:t>HS Frankreichs (neue) Sicherheits- und Verteidigungspolitik</w:t>
      </w:r>
      <w:r w:rsidR="00C06189">
        <w:rPr>
          <w:sz w:val="18"/>
          <w:szCs w:val="18"/>
        </w:rPr>
        <w:t>?</w:t>
      </w:r>
    </w:p>
    <w:p w:rsidR="005B7AB7" w:rsidRPr="00D53CBE" w:rsidRDefault="005B7AB7" w:rsidP="00C06189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Wintersemester 08/09</w:t>
      </w:r>
    </w:p>
    <w:p w:rsidR="00D53CBE" w:rsidRPr="00D53CBE" w:rsidRDefault="00D53CBE" w:rsidP="00C06189">
      <w:pPr>
        <w:spacing w:line="240" w:lineRule="auto"/>
        <w:jc w:val="both"/>
        <w:rPr>
          <w:sz w:val="18"/>
          <w:szCs w:val="18"/>
        </w:rPr>
      </w:pPr>
      <w:r w:rsidRPr="00D53CBE">
        <w:rPr>
          <w:sz w:val="18"/>
          <w:szCs w:val="18"/>
        </w:rPr>
        <w:t xml:space="preserve">Dozent: Dr. </w:t>
      </w:r>
      <w:proofErr w:type="spellStart"/>
      <w:r w:rsidRPr="00D53CBE">
        <w:rPr>
          <w:sz w:val="18"/>
          <w:szCs w:val="18"/>
        </w:rPr>
        <w:t>Ronja</w:t>
      </w:r>
      <w:proofErr w:type="spellEnd"/>
      <w:r w:rsidRPr="00D53CBE">
        <w:rPr>
          <w:sz w:val="18"/>
          <w:szCs w:val="18"/>
        </w:rPr>
        <w:t xml:space="preserve"> Kempin</w:t>
      </w:r>
      <w:r w:rsidR="00C06189">
        <w:rPr>
          <w:sz w:val="18"/>
          <w:szCs w:val="18"/>
        </w:rPr>
        <w:t xml:space="preserve">, Stefan </w:t>
      </w:r>
      <w:proofErr w:type="spellStart"/>
      <w:r w:rsidR="00C06189">
        <w:rPr>
          <w:sz w:val="18"/>
          <w:szCs w:val="18"/>
        </w:rPr>
        <w:t>Steinicke</w:t>
      </w:r>
      <w:proofErr w:type="spellEnd"/>
    </w:p>
    <w:p w:rsidR="00D53CBE" w:rsidRPr="00D53CBE" w:rsidRDefault="005B7AB7" w:rsidP="00C06189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Referent: </w:t>
      </w:r>
      <w:r w:rsidR="00D53CBE" w:rsidRPr="00D53CBE">
        <w:rPr>
          <w:sz w:val="18"/>
          <w:szCs w:val="18"/>
        </w:rPr>
        <w:t>Michael Sömmer</w:t>
      </w:r>
    </w:p>
    <w:p w:rsidR="00D2084D" w:rsidRPr="00D53CBE" w:rsidRDefault="00D53CBE" w:rsidP="00C06189">
      <w:pPr>
        <w:spacing w:line="360" w:lineRule="auto"/>
        <w:jc w:val="both"/>
        <w:rPr>
          <w:rFonts w:ascii="Copperplate Gothic Light" w:hAnsi="Copperplate Gothic Light"/>
          <w:b/>
          <w:u w:val="single"/>
        </w:rPr>
      </w:pPr>
      <w:r w:rsidRPr="00D53CBE">
        <w:rPr>
          <w:rFonts w:ascii="Copperplate Gothic Light" w:hAnsi="Copperplate Gothic Light"/>
          <w:b/>
        </w:rPr>
        <w:t>Genese und Inhalt der Paradigma „</w:t>
      </w:r>
      <w:proofErr w:type="spellStart"/>
      <w:r w:rsidRPr="00D53CBE">
        <w:rPr>
          <w:rFonts w:ascii="Copperplate Gothic Light" w:hAnsi="Copperplate Gothic Light"/>
          <w:b/>
        </w:rPr>
        <w:t>Indépendance</w:t>
      </w:r>
      <w:proofErr w:type="spellEnd"/>
      <w:r w:rsidRPr="00D53CBE">
        <w:rPr>
          <w:rFonts w:ascii="Copperplate Gothic Light" w:hAnsi="Copperplate Gothic Light"/>
          <w:b/>
        </w:rPr>
        <w:t xml:space="preserve">“,  „Grandeur“ und „Mission </w:t>
      </w:r>
      <w:r w:rsidRPr="00D53CBE">
        <w:rPr>
          <w:rFonts w:ascii="Copperplate Gothic Light" w:hAnsi="Copperplate Gothic Light"/>
          <w:b/>
          <w:u w:val="single"/>
        </w:rPr>
        <w:t>Civilisatrice“___________________________________________________________________</w:t>
      </w:r>
    </w:p>
    <w:p w:rsidR="00D53CBE" w:rsidRDefault="00D53CBE" w:rsidP="00C06189">
      <w:pPr>
        <w:spacing w:line="360" w:lineRule="auto"/>
        <w:jc w:val="both"/>
      </w:pPr>
      <w:r>
        <w:t>Die Betrachtung der französischen Sicherheits- und Verteidigungspolitik fordert eine theoretische Erfassung der drei dominierenden Paradigma,</w:t>
      </w:r>
      <w:r w:rsidR="004227B3">
        <w:t xml:space="preserve"> durch</w:t>
      </w:r>
      <w:r>
        <w:t xml:space="preserve"> die sie in den zurückliegenden Jahrhunderten maßgeb</w:t>
      </w:r>
      <w:r w:rsidR="004227B3">
        <w:t>lich beeinträchtigt wurde</w:t>
      </w:r>
      <w:r>
        <w:t xml:space="preserve">: </w:t>
      </w:r>
      <w:proofErr w:type="spellStart"/>
      <w:r w:rsidRPr="00D53CBE">
        <w:rPr>
          <w:i/>
        </w:rPr>
        <w:t>Indépendance</w:t>
      </w:r>
      <w:proofErr w:type="spellEnd"/>
      <w:r w:rsidRPr="00D53CBE">
        <w:t>,</w:t>
      </w:r>
      <w:r w:rsidRPr="00D53CBE">
        <w:rPr>
          <w:i/>
        </w:rPr>
        <w:t xml:space="preserve"> Grandeur</w:t>
      </w:r>
      <w:r>
        <w:t xml:space="preserve"> und </w:t>
      </w:r>
      <w:r w:rsidRPr="00D53CBE">
        <w:rPr>
          <w:i/>
        </w:rPr>
        <w:t xml:space="preserve">Mission </w:t>
      </w:r>
      <w:proofErr w:type="spellStart"/>
      <w:r w:rsidRPr="00D53CBE">
        <w:rPr>
          <w:i/>
        </w:rPr>
        <w:t>Civilisatrice</w:t>
      </w:r>
      <w:proofErr w:type="spellEnd"/>
      <w:r w:rsidR="00961C98">
        <w:t>, die</w:t>
      </w:r>
      <w:r w:rsidR="004227B3">
        <w:t xml:space="preserve"> zusamme</w:t>
      </w:r>
      <w:r w:rsidR="004227B3">
        <w:t>n</w:t>
      </w:r>
      <w:r w:rsidR="004227B3">
        <w:t>fassend</w:t>
      </w:r>
      <w:r w:rsidR="00961C98">
        <w:t xml:space="preserve"> auch als „</w:t>
      </w:r>
      <w:proofErr w:type="spellStart"/>
      <w:r w:rsidR="00961C98" w:rsidRPr="00961C98">
        <w:rPr>
          <w:i/>
        </w:rPr>
        <w:t>exception</w:t>
      </w:r>
      <w:proofErr w:type="spellEnd"/>
      <w:r w:rsidR="00961C98" w:rsidRPr="00961C98">
        <w:rPr>
          <w:i/>
        </w:rPr>
        <w:t xml:space="preserve"> </w:t>
      </w:r>
      <w:proofErr w:type="spellStart"/>
      <w:r w:rsidR="00961C98" w:rsidRPr="00961C98">
        <w:rPr>
          <w:i/>
        </w:rPr>
        <w:t>française</w:t>
      </w:r>
      <w:proofErr w:type="spellEnd"/>
      <w:r w:rsidR="00961C98">
        <w:t xml:space="preserve">“ bezeichnet werden, </w:t>
      </w:r>
      <w:r w:rsidR="00B7797E">
        <w:t>können</w:t>
      </w:r>
      <w:r>
        <w:t xml:space="preserve"> </w:t>
      </w:r>
      <w:r w:rsidR="00B7797E">
        <w:t>als</w:t>
      </w:r>
      <w:r w:rsidR="004227B3">
        <w:t xml:space="preserve"> handlungsleitende Prinzipien Frankreichs</w:t>
      </w:r>
      <w:r>
        <w:t xml:space="preserve"> im Internationalen System</w:t>
      </w:r>
      <w:r w:rsidR="00B7797E">
        <w:t xml:space="preserve"> verstanden werden</w:t>
      </w:r>
      <w:r>
        <w:t>. Der Konkretisierung dieser Begriffe ist zunächst eine kurze Analyse i</w:t>
      </w:r>
      <w:r w:rsidR="00B7797E">
        <w:t>hrer Ursprünge mittels</w:t>
      </w:r>
      <w:r>
        <w:t xml:space="preserve"> der E</w:t>
      </w:r>
      <w:r w:rsidR="003807C0">
        <w:t xml:space="preserve">rörterung des französischen </w:t>
      </w:r>
      <w:r w:rsidR="00C06189">
        <w:t>Begriffs der Nation</w:t>
      </w:r>
      <w:r>
        <w:t xml:space="preserve"> vorgelagert. Ab</w:t>
      </w:r>
      <w:r w:rsidR="00B7797E">
        <w:t>schließend werden</w:t>
      </w:r>
      <w:r>
        <w:t xml:space="preserve"> Tendenzen bezüglich ihrer Aktualität</w:t>
      </w:r>
      <w:r w:rsidR="00F9012A">
        <w:t xml:space="preserve"> nach dem Zweiten Weltkrieg </w:t>
      </w:r>
      <w:r>
        <w:t>skizziert.</w:t>
      </w:r>
    </w:p>
    <w:p w:rsidR="004227B3" w:rsidRPr="004227B3" w:rsidRDefault="004227B3" w:rsidP="00C06189">
      <w:pPr>
        <w:jc w:val="both"/>
        <w:rPr>
          <w:b/>
        </w:rPr>
      </w:pPr>
      <w:r w:rsidRPr="004227B3">
        <w:rPr>
          <w:b/>
        </w:rPr>
        <w:t>Der französische Begriff der Nation</w:t>
      </w:r>
    </w:p>
    <w:p w:rsidR="004227B3" w:rsidRDefault="00D53CBE" w:rsidP="00C06189">
      <w:pPr>
        <w:spacing w:line="360" w:lineRule="auto"/>
        <w:jc w:val="both"/>
      </w:pPr>
      <w:r>
        <w:t>Der französischen Nation</w:t>
      </w:r>
      <w:r w:rsidR="003807C0">
        <w:t>s</w:t>
      </w:r>
      <w:r>
        <w:t>bildung stand seit dem Mittelalter die ethnische und sprachliche Heter</w:t>
      </w:r>
      <w:r>
        <w:t>o</w:t>
      </w:r>
      <w:r>
        <w:t>genität des französischen Staatsvolks gegenüber</w:t>
      </w:r>
      <w:r w:rsidR="003807C0">
        <w:t xml:space="preserve">. </w:t>
      </w:r>
      <w:r w:rsidR="003537CD">
        <w:t>Erst d</w:t>
      </w:r>
      <w:r w:rsidR="003807C0">
        <w:t>i</w:t>
      </w:r>
      <w:r w:rsidR="003537CD">
        <w:t>e Französische Revolution</w:t>
      </w:r>
      <w:r w:rsidR="003807C0">
        <w:t xml:space="preserve"> gab </w:t>
      </w:r>
      <w:r w:rsidR="003537CD">
        <w:t>der Entwic</w:t>
      </w:r>
      <w:r w:rsidR="003537CD">
        <w:t>k</w:t>
      </w:r>
      <w:r w:rsidR="003537CD">
        <w:t xml:space="preserve">lung des französischen Nationalgedanken die notwendigen Impulse um </w:t>
      </w:r>
      <w:r w:rsidR="004139A7">
        <w:t>in seine spätere Sonderste</w:t>
      </w:r>
      <w:r w:rsidR="004139A7">
        <w:t>l</w:t>
      </w:r>
      <w:r w:rsidR="004139A7">
        <w:t>lung unter den Nationalstaaten zu finden.</w:t>
      </w:r>
      <w:r w:rsidR="003807C0">
        <w:t xml:space="preserve"> Während</w:t>
      </w:r>
      <w:r>
        <w:t xml:space="preserve"> im vorrevolutionären Frankreich</w:t>
      </w:r>
      <w:r w:rsidR="003807C0">
        <w:t xml:space="preserve"> Maßnahmen zur</w:t>
      </w:r>
      <w:r>
        <w:t xml:space="preserve"> Beschwörung eines</w:t>
      </w:r>
      <w:r w:rsidR="003807C0">
        <w:t xml:space="preserve"> gemeinsamen</w:t>
      </w:r>
      <w:r>
        <w:t xml:space="preserve"> Nationalempfindens</w:t>
      </w:r>
      <w:r w:rsidR="00DE6F67">
        <w:t xml:space="preserve"> allenfalls</w:t>
      </w:r>
      <w:r>
        <w:t xml:space="preserve"> Herrschaftsinstrumente dar</w:t>
      </w:r>
      <w:r w:rsidR="003807C0">
        <w:t>stel</w:t>
      </w:r>
      <w:r w:rsidR="003807C0">
        <w:t>l</w:t>
      </w:r>
      <w:r w:rsidR="003807C0">
        <w:t>ten</w:t>
      </w:r>
      <w:r>
        <w:t>, um das Volk über seine Heterogenität hinaus an den Staat zu bin</w:t>
      </w:r>
      <w:r w:rsidR="003807C0">
        <w:t>den, wandelte sich das</w:t>
      </w:r>
      <w:r w:rsidR="003537CD">
        <w:t xml:space="preserve"> eher lose</w:t>
      </w:r>
      <w:r w:rsidR="003807C0">
        <w:t xml:space="preserve"> Verhältnis von Staat und Nation mit der</w:t>
      </w:r>
      <w:r>
        <w:t xml:space="preserve"> R</w:t>
      </w:r>
      <w:r w:rsidR="003537CD">
        <w:t>evolution</w:t>
      </w:r>
      <w:r w:rsidR="00C06189">
        <w:t xml:space="preserve"> von 1789</w:t>
      </w:r>
      <w:r>
        <w:t xml:space="preserve">. </w:t>
      </w:r>
      <w:r w:rsidR="00DE6F67">
        <w:t>Das Konzept der</w:t>
      </w:r>
      <w:r w:rsidR="003537CD">
        <w:t xml:space="preserve"> Nation wurde </w:t>
      </w:r>
      <w:r w:rsidR="00DE6F67">
        <w:t xml:space="preserve">dabei </w:t>
      </w:r>
      <w:r w:rsidR="003537CD">
        <w:t>vom Ob</w:t>
      </w:r>
      <w:r w:rsidR="00DE6F67">
        <w:t>jekt der Herrschenden</w:t>
      </w:r>
      <w:r w:rsidR="003537CD">
        <w:t xml:space="preserve"> zu</w:t>
      </w:r>
      <w:r w:rsidR="00DE6F67">
        <w:t xml:space="preserve">m Subjekt des Staates. </w:t>
      </w:r>
      <w:r>
        <w:t>Ein für Frankreich spezifisch geword</w:t>
      </w:r>
      <w:r>
        <w:t>e</w:t>
      </w:r>
      <w:r w:rsidR="004139A7">
        <w:t>ner</w:t>
      </w:r>
      <w:r w:rsidR="003807C0">
        <w:t xml:space="preserve"> voluntaristischer Nations</w:t>
      </w:r>
      <w:r>
        <w:t>begriff prägte sich aus, in dem „die Nation als Produkt menschlichen Handelns begriffen“</w:t>
      </w:r>
      <w:r w:rsidR="00961C98">
        <w:rPr>
          <w:rStyle w:val="Funotenzeichen"/>
        </w:rPr>
        <w:footnoteReference w:id="2"/>
      </w:r>
      <w:r>
        <w:t xml:space="preserve"> wurde und die Zugehörigkeit zu ihr aus einem subjektiven Wil</w:t>
      </w:r>
      <w:r w:rsidR="00DE6F67">
        <w:t>lensakt</w:t>
      </w:r>
      <w:r>
        <w:t xml:space="preserve"> resultie</w:t>
      </w:r>
      <w:r>
        <w:t>r</w:t>
      </w:r>
      <w:r>
        <w:t>te. Aus dieser konzeptionellen Grundlage wurde eine revolutionä</w:t>
      </w:r>
      <w:r w:rsidR="003537CD">
        <w:t>re Idee, welche das, durch das nun in seiner Bedeutung aufgewertete</w:t>
      </w:r>
      <w:r w:rsidR="00DE6F67">
        <w:t xml:space="preserve"> Verständnis der</w:t>
      </w:r>
      <w:r>
        <w:t xml:space="preserve"> </w:t>
      </w:r>
      <w:r w:rsidRPr="00D53CBE">
        <w:rPr>
          <w:i/>
        </w:rPr>
        <w:t>Nation</w:t>
      </w:r>
      <w:r>
        <w:rPr>
          <w:i/>
        </w:rPr>
        <w:t>,</w:t>
      </w:r>
      <w:r>
        <w:t xml:space="preserve"> enger gewordene Verhältnis </w:t>
      </w:r>
      <w:r w:rsidRPr="00D53CBE">
        <w:t>von Staat und Nation neu definierte: Im postrevolutionären Frankreich kehrte sich die e</w:t>
      </w:r>
      <w:r>
        <w:t>instmalige Instrume</w:t>
      </w:r>
      <w:r>
        <w:t>n</w:t>
      </w:r>
      <w:r>
        <w:t>talisie</w:t>
      </w:r>
      <w:r w:rsidR="00DE6F67">
        <w:t>rung des</w:t>
      </w:r>
      <w:r>
        <w:t xml:space="preserve"> Nation</w:t>
      </w:r>
      <w:r w:rsidR="00DE6F67">
        <w:t>algedanken</w:t>
      </w:r>
      <w:r>
        <w:t xml:space="preserve"> </w:t>
      </w:r>
      <w:r w:rsidR="00DE6F67">
        <w:t>zu seinen Gunsten um. Seither ist die Nation</w:t>
      </w:r>
      <w:r>
        <w:t xml:space="preserve"> die „Grundlage des Staates selbst“</w:t>
      </w:r>
      <w:r>
        <w:rPr>
          <w:rStyle w:val="Funotenzeichen"/>
        </w:rPr>
        <w:footnoteReference w:id="3"/>
      </w:r>
      <w:r w:rsidR="00961C98">
        <w:t>. D</w:t>
      </w:r>
      <w:r>
        <w:t>er Staat</w:t>
      </w:r>
      <w:r w:rsidR="00961C98">
        <w:t xml:space="preserve"> hingegen</w:t>
      </w:r>
      <w:r>
        <w:t xml:space="preserve"> bildet vielmehr eine geordnete Umge</w:t>
      </w:r>
      <w:r w:rsidR="00DE6F67">
        <w:t>bung in der sie</w:t>
      </w:r>
      <w:r w:rsidR="00DB34CE">
        <w:t xml:space="preserve"> geschützt</w:t>
      </w:r>
      <w:r>
        <w:t xml:space="preserve"> </w:t>
      </w:r>
      <w:r>
        <w:lastRenderedPageBreak/>
        <w:t>zusammen</w:t>
      </w:r>
      <w:r w:rsidR="00DB34CE">
        <w:t>lebt</w:t>
      </w:r>
      <w:r>
        <w:t>.</w:t>
      </w:r>
      <w:r w:rsidRPr="00D53CBE">
        <w:t xml:space="preserve"> </w:t>
      </w:r>
      <w:r w:rsidR="00DE6F67">
        <w:t xml:space="preserve">Die Nation </w:t>
      </w:r>
      <w:r w:rsidR="005B7AB7">
        <w:t>wird</w:t>
      </w:r>
      <w:r w:rsidR="00DB34CE">
        <w:t xml:space="preserve"> folglich</w:t>
      </w:r>
      <w:r w:rsidR="005B7AB7">
        <w:t xml:space="preserve"> durch das</w:t>
      </w:r>
      <w:r w:rsidR="00DE6F67">
        <w:t xml:space="preserve"> Staatsvolk</w:t>
      </w:r>
      <w:r w:rsidR="005B7AB7">
        <w:t xml:space="preserve"> definiert</w:t>
      </w:r>
      <w:r w:rsidR="004A6D31">
        <w:t xml:space="preserve"> und</w:t>
      </w:r>
      <w:r w:rsidR="00C06189">
        <w:t xml:space="preserve"> somit kann Frankreich</w:t>
      </w:r>
      <w:r w:rsidR="004A6D31">
        <w:t xml:space="preserve"> als Urtyp</w:t>
      </w:r>
      <w:r w:rsidR="00C06189">
        <w:t xml:space="preserve"> der</w:t>
      </w:r>
      <w:r w:rsidR="00B7797E">
        <w:t xml:space="preserve"> </w:t>
      </w:r>
      <w:r w:rsidR="00B7797E" w:rsidRPr="00961C98">
        <w:rPr>
          <w:i/>
        </w:rPr>
        <w:t>Staatsnation</w:t>
      </w:r>
      <w:r w:rsidR="00B7797E">
        <w:t xml:space="preserve"> begriffen werden</w:t>
      </w:r>
      <w:r w:rsidR="00DE6F67">
        <w:t>.</w:t>
      </w:r>
    </w:p>
    <w:p w:rsidR="00D53CBE" w:rsidRPr="004227B3" w:rsidRDefault="004227B3" w:rsidP="00C06189">
      <w:pPr>
        <w:spacing w:line="360" w:lineRule="auto"/>
        <w:jc w:val="both"/>
        <w:rPr>
          <w:b/>
        </w:rPr>
      </w:pPr>
      <w:r w:rsidRPr="004227B3">
        <w:rPr>
          <w:b/>
        </w:rPr>
        <w:t xml:space="preserve">Der </w:t>
      </w:r>
      <w:proofErr w:type="spellStart"/>
      <w:r w:rsidRPr="004227B3">
        <w:rPr>
          <w:b/>
        </w:rPr>
        <w:t>Französische</w:t>
      </w:r>
      <w:proofErr w:type="spellEnd"/>
      <w:r w:rsidRPr="004227B3">
        <w:rPr>
          <w:b/>
        </w:rPr>
        <w:t xml:space="preserve"> Exzeptionalismus</w:t>
      </w:r>
      <w:r w:rsidR="00DE6F67" w:rsidRPr="004227B3">
        <w:rPr>
          <w:b/>
        </w:rPr>
        <w:t xml:space="preserve"> </w:t>
      </w:r>
    </w:p>
    <w:p w:rsidR="00D53CBE" w:rsidRDefault="004139A7" w:rsidP="00C06189">
      <w:pPr>
        <w:spacing w:line="360" w:lineRule="auto"/>
        <w:jc w:val="both"/>
      </w:pPr>
      <w:r>
        <w:t>In diesem Kontext proklamierte Ernest Renan</w:t>
      </w:r>
      <w:r w:rsidR="00D53CBE">
        <w:t xml:space="preserve"> 1882 also nicht ganz ohne Grund: „Es ist der Ruhm Frankreichs, durch die Französische Revolution verkündet zu haben, </w:t>
      </w:r>
      <w:proofErr w:type="spellStart"/>
      <w:r w:rsidR="00D53CBE">
        <w:t>daß</w:t>
      </w:r>
      <w:proofErr w:type="spellEnd"/>
      <w:r w:rsidR="00D53CBE">
        <w:t xml:space="preserve"> eine Nation aus sich selbst existiert. Wir dürfen es also nicht </w:t>
      </w:r>
      <w:proofErr w:type="spellStart"/>
      <w:r w:rsidR="00D53CBE">
        <w:t>mißbilligen</w:t>
      </w:r>
      <w:proofErr w:type="spellEnd"/>
      <w:r w:rsidR="00D53CBE">
        <w:t>, wenn man uns nachahmt. Das Prinzip der Nationen ist unser.“</w:t>
      </w:r>
      <w:r w:rsidR="00961C98">
        <w:rPr>
          <w:rStyle w:val="Funotenzeichen"/>
        </w:rPr>
        <w:footnoteReference w:id="4"/>
      </w:r>
    </w:p>
    <w:p w:rsidR="00D53CBE" w:rsidRDefault="00D53CBE" w:rsidP="00C06189">
      <w:pPr>
        <w:spacing w:line="360" w:lineRule="auto"/>
        <w:jc w:val="both"/>
      </w:pPr>
      <w:r>
        <w:t>Die drei angeführten</w:t>
      </w:r>
      <w:r w:rsidR="00715C29">
        <w:t>, in Wechselwirkung stehenden,</w:t>
      </w:r>
      <w:r>
        <w:t xml:space="preserve"> Paradigma spr</w:t>
      </w:r>
      <w:r w:rsidR="00524F2C">
        <w:t xml:space="preserve">ingen förmlich aus </w:t>
      </w:r>
      <w:proofErr w:type="spellStart"/>
      <w:r w:rsidR="00524F2C">
        <w:t>Renans</w:t>
      </w:r>
      <w:proofErr w:type="spellEnd"/>
      <w:r w:rsidR="00524F2C">
        <w:t xml:space="preserve"> Wo</w:t>
      </w:r>
      <w:r w:rsidR="00524F2C">
        <w:t>r</w:t>
      </w:r>
      <w:r w:rsidR="00524F2C">
        <w:t>ten</w:t>
      </w:r>
      <w:r>
        <w:t>:</w:t>
      </w:r>
    </w:p>
    <w:p w:rsidR="00D53CBE" w:rsidRDefault="00D53CBE" w:rsidP="00C06189">
      <w:pPr>
        <w:pStyle w:val="Listenabsatz"/>
        <w:numPr>
          <w:ilvl w:val="0"/>
          <w:numId w:val="2"/>
        </w:numPr>
        <w:spacing w:line="360" w:lineRule="auto"/>
        <w:jc w:val="both"/>
      </w:pPr>
      <w:proofErr w:type="spellStart"/>
      <w:r>
        <w:rPr>
          <w:b/>
          <w:i/>
        </w:rPr>
        <w:t>Independance</w:t>
      </w:r>
      <w:proofErr w:type="spellEnd"/>
      <w:r w:rsidRPr="00D53CBE">
        <w:t xml:space="preserve"> </w:t>
      </w:r>
      <w:r w:rsidR="00DB34CE">
        <w:t>bedeutet die Unabhängigkeit Frankreichs in seinen Außenbeziehungen. Sie le</w:t>
      </w:r>
      <w:r w:rsidR="00DB34CE">
        <w:t>i</w:t>
      </w:r>
      <w:r w:rsidR="00DB34CE">
        <w:t>tet sich aus dem Staat-Nation-Verhältnis ab, in dem der Staat für den Schutz der Nation ve</w:t>
      </w:r>
      <w:r w:rsidR="00DB34CE">
        <w:t>r</w:t>
      </w:r>
      <w:r w:rsidR="00DB34CE">
        <w:t>antwortlich ist. So wirkt er im Inneren Erosionen im Nationalempfinden entgegen und b</w:t>
      </w:r>
      <w:r w:rsidR="00DB34CE">
        <w:t>e</w:t>
      </w:r>
      <w:r w:rsidR="00DB34CE">
        <w:t>wahrt die Nation nach Außen vor Fremdbestimmung.</w:t>
      </w:r>
      <w:r w:rsidR="00535EDA">
        <w:t xml:space="preserve"> So kann die </w:t>
      </w:r>
      <w:proofErr w:type="spellStart"/>
      <w:r w:rsidR="00535EDA">
        <w:rPr>
          <w:i/>
        </w:rPr>
        <w:t>Independance</w:t>
      </w:r>
      <w:proofErr w:type="spellEnd"/>
      <w:r w:rsidR="00535EDA">
        <w:t xml:space="preserve"> als „Streben nach Autonomiewahrung </w:t>
      </w:r>
      <w:r w:rsidR="0041339F">
        <w:t>und Abgrenzung des Staates gegenüber anderen Akteuren“</w:t>
      </w:r>
      <w:r w:rsidR="0041339F" w:rsidRPr="0041339F">
        <w:rPr>
          <w:rStyle w:val="Funotenzeichen"/>
        </w:rPr>
        <w:t xml:space="preserve"> </w:t>
      </w:r>
      <w:r w:rsidR="0041339F">
        <w:rPr>
          <w:rStyle w:val="Funotenzeichen"/>
        </w:rPr>
        <w:footnoteReference w:id="5"/>
      </w:r>
      <w:r w:rsidR="0041339F">
        <w:t xml:space="preserve"> b</w:t>
      </w:r>
      <w:r w:rsidR="0041339F">
        <w:t>e</w:t>
      </w:r>
      <w:r w:rsidR="0041339F">
        <w:t>trachtet werden.</w:t>
      </w:r>
      <w:r w:rsidR="00715C29">
        <w:t xml:space="preserve"> </w:t>
      </w:r>
    </w:p>
    <w:p w:rsidR="00D53CBE" w:rsidRDefault="00D53CBE" w:rsidP="00C06189">
      <w:pPr>
        <w:pStyle w:val="Listenabsatz"/>
        <w:numPr>
          <w:ilvl w:val="0"/>
          <w:numId w:val="2"/>
        </w:numPr>
        <w:spacing w:line="360" w:lineRule="auto"/>
        <w:jc w:val="both"/>
      </w:pPr>
      <w:r w:rsidRPr="00D53CBE">
        <w:rPr>
          <w:b/>
          <w:i/>
        </w:rPr>
        <w:t>Grandeur</w:t>
      </w:r>
      <w:r>
        <w:t xml:space="preserve"> (Großartigkeit)</w:t>
      </w:r>
      <w:r w:rsidR="00817461">
        <w:t xml:space="preserve"> bezeichnet das </w:t>
      </w:r>
      <w:r w:rsidR="00370772">
        <w:t>Selbstverständnis der Franzosen eine besondere, herausragende</w:t>
      </w:r>
      <w:r w:rsidR="00817461">
        <w:t xml:space="preserve"> Rolle in der Welt zu spielen</w:t>
      </w:r>
      <w:r w:rsidR="00370772">
        <w:t>. Die Leistung des französi</w:t>
      </w:r>
      <w:r w:rsidR="00817461">
        <w:t>schen V</w:t>
      </w:r>
      <w:r w:rsidR="00370772">
        <w:t>olkes sich selbst zu einer</w:t>
      </w:r>
      <w:r w:rsidR="00817461">
        <w:t xml:space="preserve"> Nation zu formen, einen Staat zu dessen Schutz im Zeichen von Freiheit und Gleic</w:t>
      </w:r>
      <w:r w:rsidR="00817461">
        <w:t>h</w:t>
      </w:r>
      <w:r w:rsidR="00817461">
        <w:t>heit zu bilden</w:t>
      </w:r>
      <w:r w:rsidR="00715C29">
        <w:t>,</w:t>
      </w:r>
      <w:r w:rsidR="0041339F">
        <w:t xml:space="preserve"> trugen zweifelsohne zu</w:t>
      </w:r>
      <w:r w:rsidR="00817461">
        <w:t xml:space="preserve"> dieser Einschätzung bei.</w:t>
      </w:r>
      <w:r w:rsidR="0041339F">
        <w:t xml:space="preserve"> Sie ist nicht nur auf den a</w:t>
      </w:r>
      <w:r w:rsidR="0041339F">
        <w:t>u</w:t>
      </w:r>
      <w:r w:rsidR="0041339F">
        <w:t>ßenpolitischen Status Frankreichs in der Welt angelegt, sondern ist durchaus als „eine</w:t>
      </w:r>
      <w:r w:rsidR="00817461">
        <w:t xml:space="preserve"> </w:t>
      </w:r>
      <w:r w:rsidR="0041339F">
        <w:t>die widerstreitenden gesellschaftlichen Gruppen von Links und Rechts zusammenhaltende n</w:t>
      </w:r>
      <w:r w:rsidR="0041339F">
        <w:t>a</w:t>
      </w:r>
      <w:r w:rsidR="0041339F">
        <w:t>tionale Integrationspolitik“</w:t>
      </w:r>
      <w:r w:rsidR="0041339F">
        <w:rPr>
          <w:rStyle w:val="Funotenzeichen"/>
        </w:rPr>
        <w:footnoteReference w:id="6"/>
      </w:r>
      <w:r w:rsidR="0041339F">
        <w:t>.</w:t>
      </w:r>
    </w:p>
    <w:p w:rsidR="004227B3" w:rsidRDefault="00524F2C" w:rsidP="00C06189">
      <w:pPr>
        <w:pStyle w:val="Listenabsatz"/>
        <w:numPr>
          <w:ilvl w:val="0"/>
          <w:numId w:val="2"/>
        </w:numPr>
        <w:spacing w:line="360" w:lineRule="auto"/>
        <w:jc w:val="both"/>
      </w:pPr>
      <w:r>
        <w:t xml:space="preserve">Aus der </w:t>
      </w:r>
      <w:r w:rsidRPr="00524F2C">
        <w:rPr>
          <w:i/>
        </w:rPr>
        <w:t>Grandeur</w:t>
      </w:r>
      <w:r w:rsidR="00817461" w:rsidRPr="00817461">
        <w:t xml:space="preserve"> resultiert nicht zuletzt die</w:t>
      </w:r>
      <w:r w:rsidR="00817461">
        <w:rPr>
          <w:b/>
          <w:i/>
        </w:rPr>
        <w:t xml:space="preserve"> </w:t>
      </w:r>
      <w:r w:rsidR="00D53CBE" w:rsidRPr="00D53CBE">
        <w:rPr>
          <w:b/>
          <w:i/>
        </w:rPr>
        <w:t xml:space="preserve">Mission </w:t>
      </w:r>
      <w:proofErr w:type="spellStart"/>
      <w:r w:rsidR="00D53CBE" w:rsidRPr="00D53CBE">
        <w:rPr>
          <w:b/>
          <w:i/>
        </w:rPr>
        <w:t>Civilisatrice</w:t>
      </w:r>
      <w:proofErr w:type="spellEnd"/>
      <w:r w:rsidR="00817461">
        <w:rPr>
          <w:b/>
          <w:i/>
        </w:rPr>
        <w:t>,</w:t>
      </w:r>
      <w:r w:rsidR="00DB34CE">
        <w:t xml:space="preserve"> verstanden als </w:t>
      </w:r>
      <w:r w:rsidR="00817461">
        <w:t>Sendung</w:t>
      </w:r>
      <w:r w:rsidR="00817461">
        <w:t>s</w:t>
      </w:r>
      <w:r w:rsidR="00817461">
        <w:t>bewuss</w:t>
      </w:r>
      <w:r w:rsidR="0010688C">
        <w:t>tsein.</w:t>
      </w:r>
      <w:r w:rsidR="0041339F">
        <w:t xml:space="preserve"> Frankreich ist</w:t>
      </w:r>
      <w:r w:rsidR="004A6D31">
        <w:t xml:space="preserve"> ein</w:t>
      </w:r>
      <w:r w:rsidR="0010688C">
        <w:t xml:space="preserve"> Ausgangspunkt</w:t>
      </w:r>
      <w:r w:rsidR="00AB32EC">
        <w:t xml:space="preserve"> für die Verbreitung des Nationalstaat</w:t>
      </w:r>
      <w:r w:rsidR="004A6D31">
        <w:t>geda</w:t>
      </w:r>
      <w:r w:rsidR="004A6D31">
        <w:t>n</w:t>
      </w:r>
      <w:r w:rsidR="00AB32EC">
        <w:t>kens oder etwa des Liberalismus.</w:t>
      </w:r>
      <w:r>
        <w:t xml:space="preserve"> Beide prägten das heutige Bild Europas und Teile der Welt entscheidend. In diesem Sinne sind sich die Franzosen</w:t>
      </w:r>
      <w:r w:rsidR="00AB32EC">
        <w:t xml:space="preserve"> einer gewissen „Vorbildfunktion“ durchaus bewusst.</w:t>
      </w:r>
    </w:p>
    <w:p w:rsidR="004227B3" w:rsidRPr="004227B3" w:rsidRDefault="004227B3" w:rsidP="00C06189">
      <w:pPr>
        <w:spacing w:line="360" w:lineRule="auto"/>
        <w:jc w:val="both"/>
        <w:rPr>
          <w:b/>
        </w:rPr>
      </w:pPr>
      <w:r w:rsidRPr="004227B3">
        <w:rPr>
          <w:b/>
        </w:rPr>
        <w:t>Renaissance</w:t>
      </w:r>
      <w:r>
        <w:rPr>
          <w:b/>
        </w:rPr>
        <w:t xml:space="preserve"> der </w:t>
      </w:r>
      <w:proofErr w:type="spellStart"/>
      <w:r w:rsidRPr="004227B3">
        <w:rPr>
          <w:b/>
          <w:i/>
        </w:rPr>
        <w:t>exception</w:t>
      </w:r>
      <w:proofErr w:type="spellEnd"/>
      <w:r w:rsidRPr="004227B3">
        <w:rPr>
          <w:b/>
          <w:i/>
        </w:rPr>
        <w:t xml:space="preserve"> </w:t>
      </w:r>
      <w:proofErr w:type="spellStart"/>
      <w:r w:rsidRPr="004227B3">
        <w:rPr>
          <w:b/>
          <w:i/>
        </w:rPr>
        <w:t>française</w:t>
      </w:r>
      <w:proofErr w:type="spellEnd"/>
      <w:r w:rsidRPr="004227B3">
        <w:rPr>
          <w:b/>
        </w:rPr>
        <w:t xml:space="preserve"> unter de Gaulle</w:t>
      </w:r>
    </w:p>
    <w:p w:rsidR="004400A6" w:rsidRDefault="00D53CBE" w:rsidP="00C06189">
      <w:pPr>
        <w:spacing w:line="360" w:lineRule="auto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 w:rsidR="00524F2C">
        <w:t xml:space="preserve">Eine besondere Aufwertung und neue </w:t>
      </w:r>
      <w:r w:rsidR="0041339F">
        <w:t>Beachtung erfuhr der Französische Exzeptionalismus</w:t>
      </w:r>
      <w:r w:rsidR="004227B3">
        <w:t xml:space="preserve"> </w:t>
      </w:r>
      <w:r w:rsidR="00524F2C">
        <w:t xml:space="preserve">unter der Präsidentschaft de Gaulles. </w:t>
      </w:r>
      <w:r w:rsidR="00535EDA">
        <w:t>Unter den Bedingungen des Ost-West-Antagonismus</w:t>
      </w:r>
      <w:r w:rsidR="0041339F">
        <w:t xml:space="preserve"> verschärften sich </w:t>
      </w:r>
      <w:r w:rsidR="0041339F">
        <w:lastRenderedPageBreak/>
        <w:t>antiimperialistische und antiamerikanische Tenden</w:t>
      </w:r>
      <w:r w:rsidR="004400A6">
        <w:t>zen und ließen in de Gaulle die Vision</w:t>
      </w:r>
      <w:r w:rsidR="0041339F">
        <w:t xml:space="preserve"> einer mult</w:t>
      </w:r>
      <w:r w:rsidR="0041339F">
        <w:t>i</w:t>
      </w:r>
      <w:r w:rsidR="004400A6">
        <w:t>polaren Welt keimen, mit</w:t>
      </w:r>
      <w:r w:rsidR="0041339F">
        <w:t xml:space="preserve"> Frankreich</w:t>
      </w:r>
      <w:r w:rsidR="004400A6">
        <w:t xml:space="preserve"> in </w:t>
      </w:r>
      <w:r w:rsidR="0041339F">
        <w:t>herausragende</w:t>
      </w:r>
      <w:r w:rsidR="004400A6">
        <w:t>r Position</w:t>
      </w:r>
      <w:r w:rsidR="0041339F">
        <w:t xml:space="preserve">. </w:t>
      </w:r>
      <w:r w:rsidR="00F9012A">
        <w:t>Nach Einschätzung de Gaulles war dies wohl nur unter der Prämisse einer nuklearen Bewaffnung möglich, welche zugleich den Kern eines neuen militärstrategischen Modells bildete.</w:t>
      </w:r>
      <w:r w:rsidR="00BF57D0">
        <w:t xml:space="preserve"> Ein</w:t>
      </w:r>
      <w:r w:rsidR="00F9012A">
        <w:t xml:space="preserve"> primäre</w:t>
      </w:r>
      <w:r w:rsidR="00BF57D0">
        <w:t>s</w:t>
      </w:r>
      <w:r w:rsidR="00F9012A">
        <w:t xml:space="preserve"> Ziel stellte so</w:t>
      </w:r>
      <w:r w:rsidR="004227B3">
        <w:t>mit</w:t>
      </w:r>
      <w:r w:rsidR="00F9012A">
        <w:t xml:space="preserve"> zunächst die Gege</w:t>
      </w:r>
      <w:r w:rsidR="00F9012A">
        <w:t>n</w:t>
      </w:r>
      <w:r w:rsidR="00F9012A">
        <w:t>machtbildung zur USA und zur NATO dar, aus deren militärischen Strukturen sich das gaullistische Frankreich 1966 zurückzog</w:t>
      </w:r>
      <w:r w:rsidR="004400A6">
        <w:t xml:space="preserve"> (</w:t>
      </w:r>
      <w:r w:rsidR="004400A6" w:rsidRPr="004400A6">
        <w:rPr>
          <w:i/>
        </w:rPr>
        <w:t>Grandeur</w:t>
      </w:r>
      <w:r w:rsidR="004400A6">
        <w:t>)</w:t>
      </w:r>
      <w:r w:rsidR="00F9012A">
        <w:t xml:space="preserve">. Seither wird jede Annährung zur NATO seitens der Franzosen als Gefährdung der </w:t>
      </w:r>
      <w:proofErr w:type="spellStart"/>
      <w:r w:rsidR="00F9012A" w:rsidRPr="00F9012A">
        <w:rPr>
          <w:i/>
        </w:rPr>
        <w:t>Indépendance</w:t>
      </w:r>
      <w:proofErr w:type="spellEnd"/>
      <w:r w:rsidR="00F9012A">
        <w:t xml:space="preserve"> gegenüber den USA betrachtet.</w:t>
      </w:r>
      <w:r w:rsidR="004227B3">
        <w:t xml:space="preserve"> Weiterhin sah das Modell de Gau</w:t>
      </w:r>
      <w:r w:rsidR="004227B3">
        <w:t>l</w:t>
      </w:r>
      <w:r w:rsidR="004227B3">
        <w:t>les die Etablierung einer sicherheitspolitischen Alternativstruktur vor</w:t>
      </w:r>
      <w:r w:rsidR="004400A6">
        <w:t>(</w:t>
      </w:r>
      <w:r w:rsidR="004400A6" w:rsidRPr="004400A6">
        <w:rPr>
          <w:i/>
        </w:rPr>
        <w:t xml:space="preserve">Mission </w:t>
      </w:r>
      <w:proofErr w:type="spellStart"/>
      <w:r w:rsidR="004400A6" w:rsidRPr="004400A6">
        <w:rPr>
          <w:i/>
        </w:rPr>
        <w:t>Civilisatrice</w:t>
      </w:r>
      <w:proofErr w:type="spellEnd"/>
      <w:r w:rsidR="004400A6">
        <w:t>)</w:t>
      </w:r>
      <w:r w:rsidR="004227B3">
        <w:t>.</w:t>
      </w:r>
      <w:r w:rsidR="00BF57D0">
        <w:t xml:space="preserve"> Natürlich muss der Französische Exzeptionalismus immer auch unter den Bedingungen des jeweiligen strateg</w:t>
      </w:r>
      <w:r w:rsidR="00BF57D0">
        <w:t>i</w:t>
      </w:r>
      <w:r w:rsidR="00BF57D0">
        <w:t>schen Kontext</w:t>
      </w:r>
      <w:r w:rsidR="004400A6">
        <w:t>es</w:t>
      </w:r>
      <w:r w:rsidR="004227B3">
        <w:t xml:space="preserve"> betrachtet werden. </w:t>
      </w:r>
    </w:p>
    <w:p w:rsidR="004400A6" w:rsidRDefault="004400A6" w:rsidP="00C06189">
      <w:pPr>
        <w:spacing w:line="360" w:lineRule="auto"/>
        <w:jc w:val="both"/>
        <w:rPr>
          <w:b/>
        </w:rPr>
      </w:pPr>
      <w:r>
        <w:rPr>
          <w:b/>
        </w:rPr>
        <w:t>Literatur</w:t>
      </w:r>
    </w:p>
    <w:p w:rsidR="004400A6" w:rsidRDefault="004400A6" w:rsidP="00C06189">
      <w:pPr>
        <w:spacing w:line="360" w:lineRule="auto"/>
        <w:jc w:val="both"/>
      </w:pPr>
      <w:r>
        <w:t>Renan, Ernest, Was ist eine Nation</w:t>
      </w:r>
      <w:proofErr w:type="gramStart"/>
      <w:r>
        <w:t>?,</w:t>
      </w:r>
      <w:proofErr w:type="gramEnd"/>
      <w:r>
        <w:t xml:space="preserve"> in: </w:t>
      </w:r>
      <w:proofErr w:type="spellStart"/>
      <w:r>
        <w:t>Jeismann</w:t>
      </w:r>
      <w:proofErr w:type="spellEnd"/>
      <w:r>
        <w:t>, Michael, Rit</w:t>
      </w:r>
      <w:r w:rsidR="00C06189">
        <w:t xml:space="preserve">ter, Henning: Grenzfälle – Über </w:t>
      </w:r>
      <w:r>
        <w:t>neuen und alten Nationalismus, Leipzig 1993. (Quelle 1)</w:t>
      </w:r>
    </w:p>
    <w:p w:rsidR="004400A6" w:rsidRDefault="004400A6" w:rsidP="00C06189">
      <w:pPr>
        <w:spacing w:line="360" w:lineRule="auto"/>
        <w:jc w:val="both"/>
      </w:pPr>
      <w:proofErr w:type="spellStart"/>
      <w:r>
        <w:t>Sauder</w:t>
      </w:r>
      <w:proofErr w:type="spellEnd"/>
      <w:r>
        <w:t>, Axel, Souveränität und Integration. Deutsche und französische Konzeptionen europäischer Sicherheit nach dem Ende des Kalten Krieges (1990–1993), Baden-Baden 1995, S. 304-318. (Quelle 2)</w:t>
      </w:r>
    </w:p>
    <w:p w:rsidR="004400A6" w:rsidRPr="004400A6" w:rsidRDefault="004400A6" w:rsidP="00C06189">
      <w:pPr>
        <w:spacing w:line="360" w:lineRule="auto"/>
        <w:jc w:val="both"/>
      </w:pPr>
      <w:r>
        <w:t xml:space="preserve">Schmidt, Peter, Frankreichs Außen- und Sicherheitspolitik zwischen Integration und </w:t>
      </w:r>
      <w:proofErr w:type="spellStart"/>
      <w:r>
        <w:t>Unilateralismus</w:t>
      </w:r>
      <w:proofErr w:type="spellEnd"/>
      <w:r>
        <w:t>, in: Zürcher Beiträge zur Sicherheitspolitik und Konfliktforschung, (1997) 44, S. 18–33. (Quelle 3)</w:t>
      </w:r>
    </w:p>
    <w:sectPr w:rsidR="004400A6" w:rsidRPr="004400A6" w:rsidSect="00D208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755" w:rsidRDefault="00257755" w:rsidP="00D53CBE">
      <w:pPr>
        <w:spacing w:after="0" w:line="240" w:lineRule="auto"/>
      </w:pPr>
      <w:r>
        <w:separator/>
      </w:r>
    </w:p>
  </w:endnote>
  <w:endnote w:type="continuationSeparator" w:id="1">
    <w:p w:rsidR="00257755" w:rsidRDefault="00257755" w:rsidP="00D5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755" w:rsidRDefault="00257755" w:rsidP="00D53CBE">
      <w:pPr>
        <w:spacing w:after="0" w:line="240" w:lineRule="auto"/>
      </w:pPr>
      <w:r>
        <w:separator/>
      </w:r>
    </w:p>
  </w:footnote>
  <w:footnote w:type="continuationSeparator" w:id="1">
    <w:p w:rsidR="00257755" w:rsidRDefault="00257755" w:rsidP="00D53CBE">
      <w:pPr>
        <w:spacing w:after="0" w:line="240" w:lineRule="auto"/>
      </w:pPr>
      <w:r>
        <w:continuationSeparator/>
      </w:r>
    </w:p>
  </w:footnote>
  <w:footnote w:id="2">
    <w:p w:rsidR="004400A6" w:rsidRDefault="004400A6">
      <w:pPr>
        <w:pStyle w:val="Funotentext"/>
      </w:pPr>
      <w:r>
        <w:rPr>
          <w:rStyle w:val="Funotenzeichen"/>
        </w:rPr>
        <w:footnoteRef/>
      </w:r>
      <w:r>
        <w:t xml:space="preserve"> Quelle 2, S. 306.</w:t>
      </w:r>
    </w:p>
  </w:footnote>
  <w:footnote w:id="3">
    <w:p w:rsidR="004400A6" w:rsidRDefault="004400A6">
      <w:pPr>
        <w:pStyle w:val="Funotentext"/>
      </w:pPr>
      <w:r>
        <w:rPr>
          <w:rStyle w:val="Funotenzeichen"/>
        </w:rPr>
        <w:footnoteRef/>
      </w:r>
      <w:r>
        <w:t xml:space="preserve"> Quelle 2, S. 311.</w:t>
      </w:r>
    </w:p>
  </w:footnote>
  <w:footnote w:id="4">
    <w:p w:rsidR="004400A6" w:rsidRDefault="004400A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C06189">
        <w:t>Quelle 1</w:t>
      </w:r>
      <w:r>
        <w:t xml:space="preserve">, S. </w:t>
      </w:r>
      <w:r w:rsidR="00C06189">
        <w:t>4.</w:t>
      </w:r>
    </w:p>
  </w:footnote>
  <w:footnote w:id="5">
    <w:p w:rsidR="004400A6" w:rsidRDefault="004400A6" w:rsidP="0041339F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C06189">
        <w:t>Quelle 3,</w:t>
      </w:r>
      <w:r>
        <w:t xml:space="preserve"> S. 18.</w:t>
      </w:r>
    </w:p>
  </w:footnote>
  <w:footnote w:id="6">
    <w:p w:rsidR="004400A6" w:rsidRDefault="004400A6">
      <w:pPr>
        <w:pStyle w:val="Funotentext"/>
      </w:pPr>
      <w:r>
        <w:rPr>
          <w:rStyle w:val="Funotenzeichen"/>
        </w:rPr>
        <w:footnoteRef/>
      </w:r>
      <w:r w:rsidR="00C06189">
        <w:t xml:space="preserve"> Quelle 3,</w:t>
      </w:r>
      <w:r>
        <w:t xml:space="preserve"> S. 20.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7075F"/>
    <w:multiLevelType w:val="hybridMultilevel"/>
    <w:tmpl w:val="3A3EA4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661BE"/>
    <w:multiLevelType w:val="hybridMultilevel"/>
    <w:tmpl w:val="071E50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3CBE"/>
    <w:rsid w:val="000C6DF4"/>
    <w:rsid w:val="0010688C"/>
    <w:rsid w:val="001A092D"/>
    <w:rsid w:val="00257755"/>
    <w:rsid w:val="003537CD"/>
    <w:rsid w:val="00370772"/>
    <w:rsid w:val="003807C0"/>
    <w:rsid w:val="0041339F"/>
    <w:rsid w:val="004139A7"/>
    <w:rsid w:val="004227B3"/>
    <w:rsid w:val="004400A6"/>
    <w:rsid w:val="004A6D31"/>
    <w:rsid w:val="00524F2C"/>
    <w:rsid w:val="00535EDA"/>
    <w:rsid w:val="005B7AB7"/>
    <w:rsid w:val="00715C29"/>
    <w:rsid w:val="0074765E"/>
    <w:rsid w:val="00817461"/>
    <w:rsid w:val="00961C98"/>
    <w:rsid w:val="00AB32EC"/>
    <w:rsid w:val="00AE5BBF"/>
    <w:rsid w:val="00B7797E"/>
    <w:rsid w:val="00BF57D0"/>
    <w:rsid w:val="00C06189"/>
    <w:rsid w:val="00D2084D"/>
    <w:rsid w:val="00D53CBE"/>
    <w:rsid w:val="00DA3F5E"/>
    <w:rsid w:val="00DB34CE"/>
    <w:rsid w:val="00DE6F67"/>
    <w:rsid w:val="00F90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084D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227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3CB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53CB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53CB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53CBE"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227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D88BF-F4DB-4912-B4CC-090C6EA7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5</cp:revision>
  <dcterms:created xsi:type="dcterms:W3CDTF">2008-12-09T13:39:00Z</dcterms:created>
  <dcterms:modified xsi:type="dcterms:W3CDTF">2008-12-10T14:17:00Z</dcterms:modified>
</cp:coreProperties>
</file>