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7C" w:rsidRPr="00426C13" w:rsidRDefault="0046527C" w:rsidP="00426C13">
      <w:pPr>
        <w:spacing w:line="360" w:lineRule="auto"/>
        <w:jc w:val="center"/>
        <w:rPr>
          <w:b/>
          <w:bCs/>
        </w:rPr>
      </w:pPr>
      <w:r w:rsidRPr="00426C13">
        <w:rPr>
          <w:b/>
          <w:bCs/>
        </w:rPr>
        <w:t>Influence of Piperine and Cosmoperine® as Transdermal Drug Delivery Promoters.</w:t>
      </w:r>
    </w:p>
    <w:p w:rsidR="0046527C" w:rsidRPr="00426C13" w:rsidRDefault="0046527C" w:rsidP="00426C13">
      <w:pPr>
        <w:spacing w:line="360" w:lineRule="auto"/>
        <w:jc w:val="center"/>
        <w:rPr>
          <w:sz w:val="20"/>
          <w:szCs w:val="20"/>
        </w:rPr>
      </w:pPr>
      <w:r w:rsidRPr="00426C13">
        <w:rPr>
          <w:sz w:val="20"/>
          <w:szCs w:val="20"/>
        </w:rPr>
        <w:t>-</w:t>
      </w:r>
      <w:r w:rsidR="0085427A">
        <w:rPr>
          <w:sz w:val="20"/>
          <w:szCs w:val="20"/>
        </w:rPr>
        <w:t xml:space="preserve">Dr. </w:t>
      </w:r>
      <w:r w:rsidRPr="00426C13">
        <w:rPr>
          <w:sz w:val="20"/>
          <w:szCs w:val="20"/>
        </w:rPr>
        <w:t>Sudaxshina Murdan and Yatin Matkari.</w:t>
      </w:r>
      <w:r w:rsidR="00426C13">
        <w:rPr>
          <w:sz w:val="20"/>
          <w:szCs w:val="20"/>
        </w:rPr>
        <w:t xml:space="preserve">                     </w:t>
      </w:r>
      <w:r w:rsidR="00426C13" w:rsidRPr="00426C13">
        <w:rPr>
          <w:sz w:val="20"/>
          <w:szCs w:val="20"/>
        </w:rPr>
        <w:t xml:space="preserve"> </w:t>
      </w:r>
      <w:r w:rsidRPr="00426C13">
        <w:rPr>
          <w:sz w:val="20"/>
          <w:szCs w:val="20"/>
        </w:rPr>
        <w:t>-</w:t>
      </w:r>
      <w:r w:rsidR="005B0710" w:rsidRPr="00426C13">
        <w:rPr>
          <w:sz w:val="20"/>
          <w:szCs w:val="20"/>
        </w:rPr>
        <w:t xml:space="preserve"> </w:t>
      </w:r>
      <w:r w:rsidRPr="00426C13">
        <w:rPr>
          <w:sz w:val="20"/>
          <w:szCs w:val="20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426C13">
            <w:rPr>
              <w:sz w:val="20"/>
              <w:szCs w:val="20"/>
            </w:rPr>
            <w:t>School</w:t>
          </w:r>
        </w:smartTag>
        <w:r w:rsidRPr="00426C13">
          <w:rPr>
            <w:sz w:val="20"/>
            <w:szCs w:val="20"/>
          </w:rPr>
          <w:t xml:space="preserve"> of </w:t>
        </w:r>
        <w:smartTag w:uri="urn:schemas-microsoft-com:office:smarttags" w:element="PlaceName">
          <w:r w:rsidRPr="00426C13">
            <w:rPr>
              <w:sz w:val="20"/>
              <w:szCs w:val="20"/>
            </w:rPr>
            <w:t>Pharmacy</w:t>
          </w:r>
        </w:smartTag>
      </w:smartTag>
      <w:r w:rsidRPr="00426C13">
        <w:rPr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426C13">
            <w:rPr>
              <w:sz w:val="20"/>
              <w:szCs w:val="20"/>
            </w:rPr>
            <w:t>University</w:t>
          </w:r>
        </w:smartTag>
        <w:r w:rsidRPr="00426C13">
          <w:rPr>
            <w:sz w:val="20"/>
            <w:szCs w:val="20"/>
          </w:rPr>
          <w:t xml:space="preserve"> of </w:t>
        </w:r>
        <w:smartTag w:uri="urn:schemas-microsoft-com:office:smarttags" w:element="PlaceName">
          <w:r w:rsidRPr="00426C13">
            <w:rPr>
              <w:sz w:val="20"/>
              <w:szCs w:val="20"/>
            </w:rPr>
            <w:t>London</w:t>
          </w:r>
        </w:smartTag>
      </w:smartTag>
      <w:r w:rsidRPr="00426C13">
        <w:rPr>
          <w:sz w:val="20"/>
          <w:szCs w:val="20"/>
        </w:rPr>
        <w:t>.</w:t>
      </w:r>
    </w:p>
    <w:p w:rsidR="0046527C" w:rsidRDefault="0046527C" w:rsidP="00C31556">
      <w:pPr>
        <w:spacing w:line="360" w:lineRule="auto"/>
        <w:jc w:val="both"/>
        <w:rPr>
          <w:sz w:val="20"/>
          <w:szCs w:val="20"/>
        </w:rPr>
      </w:pPr>
    </w:p>
    <w:p w:rsidR="0046527C" w:rsidRDefault="0046527C" w:rsidP="00C31556">
      <w:pPr>
        <w:spacing w:line="360" w:lineRule="auto"/>
        <w:jc w:val="both"/>
        <w:rPr>
          <w:b/>
          <w:bCs/>
          <w:sz w:val="22"/>
          <w:szCs w:val="22"/>
        </w:rPr>
      </w:pPr>
      <w:r w:rsidRPr="0046527C">
        <w:rPr>
          <w:b/>
          <w:bCs/>
          <w:sz w:val="22"/>
          <w:szCs w:val="22"/>
        </w:rPr>
        <w:t>Focal Points.</w:t>
      </w:r>
    </w:p>
    <w:p w:rsidR="0046527C" w:rsidRPr="005B0710" w:rsidRDefault="0046527C" w:rsidP="00C31556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B0710">
        <w:rPr>
          <w:sz w:val="22"/>
          <w:szCs w:val="22"/>
        </w:rPr>
        <w:t>Literature review suggested that Piperine enhances the oral bioavailability of several pharmaceutical compounds.</w:t>
      </w:r>
    </w:p>
    <w:p w:rsidR="00C34178" w:rsidRPr="005B0710" w:rsidRDefault="00C34178" w:rsidP="00C31556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B0710">
        <w:rPr>
          <w:i/>
          <w:iCs/>
          <w:sz w:val="22"/>
          <w:szCs w:val="22"/>
        </w:rPr>
        <w:t xml:space="preserve">In-vitro </w:t>
      </w:r>
      <w:r w:rsidRPr="005B0710">
        <w:rPr>
          <w:sz w:val="22"/>
          <w:szCs w:val="22"/>
        </w:rPr>
        <w:t xml:space="preserve">transdermal diffusion studies were undertaken to </w:t>
      </w:r>
      <w:r w:rsidR="00624921" w:rsidRPr="005B0710">
        <w:rPr>
          <w:sz w:val="22"/>
          <w:szCs w:val="22"/>
        </w:rPr>
        <w:t>determine</w:t>
      </w:r>
      <w:r w:rsidRPr="005B0710">
        <w:rPr>
          <w:sz w:val="22"/>
          <w:szCs w:val="22"/>
        </w:rPr>
        <w:t xml:space="preserve"> the influence of Piperine and Cosmoperine®</w:t>
      </w:r>
      <w:r w:rsidR="00624921" w:rsidRPr="005B0710">
        <w:rPr>
          <w:sz w:val="22"/>
          <w:szCs w:val="22"/>
        </w:rPr>
        <w:t xml:space="preserve"> as transdermal drug delivery promoters.</w:t>
      </w:r>
    </w:p>
    <w:p w:rsidR="00624921" w:rsidRPr="005B0710" w:rsidRDefault="00624921" w:rsidP="00C31556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B0710">
        <w:rPr>
          <w:sz w:val="22"/>
          <w:szCs w:val="22"/>
        </w:rPr>
        <w:t>Lidocaine was used as the model drug.</w:t>
      </w:r>
    </w:p>
    <w:p w:rsidR="00624921" w:rsidRPr="005B0710" w:rsidRDefault="00624921" w:rsidP="00C31556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B0710">
        <w:rPr>
          <w:sz w:val="22"/>
          <w:szCs w:val="22"/>
        </w:rPr>
        <w:t xml:space="preserve">Amphiphilogels were </w:t>
      </w:r>
      <w:r w:rsidR="005B0710">
        <w:rPr>
          <w:sz w:val="22"/>
          <w:szCs w:val="22"/>
        </w:rPr>
        <w:t>assessed</w:t>
      </w:r>
      <w:r w:rsidRPr="005B0710">
        <w:rPr>
          <w:sz w:val="22"/>
          <w:szCs w:val="22"/>
        </w:rPr>
        <w:t xml:space="preserve"> </w:t>
      </w:r>
      <w:r w:rsidR="005B0710">
        <w:rPr>
          <w:sz w:val="22"/>
          <w:szCs w:val="22"/>
        </w:rPr>
        <w:t>for their</w:t>
      </w:r>
      <w:r w:rsidRPr="005B0710">
        <w:rPr>
          <w:sz w:val="22"/>
          <w:szCs w:val="22"/>
        </w:rPr>
        <w:t xml:space="preserve"> </w:t>
      </w:r>
      <w:r w:rsidR="005B0710">
        <w:rPr>
          <w:sz w:val="22"/>
          <w:szCs w:val="22"/>
        </w:rPr>
        <w:t xml:space="preserve">suitability as </w:t>
      </w:r>
      <w:r w:rsidRPr="005B0710">
        <w:rPr>
          <w:sz w:val="22"/>
          <w:szCs w:val="22"/>
        </w:rPr>
        <w:t xml:space="preserve">drug delivery systems. </w:t>
      </w:r>
    </w:p>
    <w:p w:rsidR="00624921" w:rsidRPr="005B0710" w:rsidRDefault="00624921" w:rsidP="00C31556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B0710">
        <w:rPr>
          <w:sz w:val="22"/>
          <w:szCs w:val="22"/>
        </w:rPr>
        <w:t xml:space="preserve">Solid Phase Extraction (SPE) technique was </w:t>
      </w:r>
      <w:r w:rsidR="005B0710">
        <w:rPr>
          <w:sz w:val="22"/>
          <w:szCs w:val="22"/>
        </w:rPr>
        <w:t xml:space="preserve">employed </w:t>
      </w:r>
      <w:r w:rsidRPr="005B0710">
        <w:rPr>
          <w:sz w:val="22"/>
          <w:szCs w:val="22"/>
        </w:rPr>
        <w:t xml:space="preserve">to aid in </w:t>
      </w:r>
      <w:r w:rsidR="00C31556">
        <w:rPr>
          <w:sz w:val="22"/>
          <w:szCs w:val="22"/>
        </w:rPr>
        <w:t>the preparation of</w:t>
      </w:r>
      <w:r w:rsidRPr="005B0710">
        <w:rPr>
          <w:sz w:val="22"/>
          <w:szCs w:val="22"/>
        </w:rPr>
        <w:t xml:space="preserve"> biological sample</w:t>
      </w:r>
      <w:r w:rsidR="00C31556">
        <w:rPr>
          <w:sz w:val="22"/>
          <w:szCs w:val="22"/>
        </w:rPr>
        <w:t>s</w:t>
      </w:r>
      <w:r w:rsidRPr="005B0710">
        <w:rPr>
          <w:sz w:val="22"/>
          <w:szCs w:val="22"/>
        </w:rPr>
        <w:t xml:space="preserve"> (rat skin with the retained drug) for subsequent HPLC analysis.</w:t>
      </w:r>
    </w:p>
    <w:p w:rsidR="005B0710" w:rsidRDefault="005B0710" w:rsidP="00C31556">
      <w:pPr>
        <w:spacing w:line="360" w:lineRule="auto"/>
        <w:jc w:val="both"/>
        <w:rPr>
          <w:sz w:val="23"/>
          <w:szCs w:val="23"/>
        </w:rPr>
      </w:pPr>
    </w:p>
    <w:p w:rsidR="005B0710" w:rsidRPr="00643FF5" w:rsidRDefault="005B0710" w:rsidP="00C31556">
      <w:pPr>
        <w:spacing w:line="360" w:lineRule="auto"/>
        <w:jc w:val="both"/>
        <w:rPr>
          <w:b/>
          <w:bCs/>
          <w:sz w:val="22"/>
          <w:szCs w:val="22"/>
        </w:rPr>
      </w:pPr>
      <w:r w:rsidRPr="00643FF5">
        <w:rPr>
          <w:b/>
          <w:bCs/>
          <w:sz w:val="22"/>
          <w:szCs w:val="22"/>
        </w:rPr>
        <w:t>Introduction.</w:t>
      </w:r>
    </w:p>
    <w:p w:rsidR="00624921" w:rsidRPr="00643FF5" w:rsidRDefault="00EE6DEB" w:rsidP="00C31556">
      <w:pPr>
        <w:spacing w:line="360" w:lineRule="auto"/>
        <w:jc w:val="both"/>
        <w:rPr>
          <w:sz w:val="22"/>
          <w:szCs w:val="22"/>
        </w:rPr>
      </w:pPr>
      <w:r w:rsidRPr="00643FF5">
        <w:rPr>
          <w:sz w:val="22"/>
          <w:szCs w:val="22"/>
        </w:rPr>
        <w:t>In spite</w:t>
      </w:r>
      <w:r w:rsidR="00C31556" w:rsidRPr="00643FF5">
        <w:rPr>
          <w:sz w:val="22"/>
          <w:szCs w:val="22"/>
        </w:rPr>
        <w:t xml:space="preserve"> of the several advantages offered by the non-invasive transdermal route </w:t>
      </w:r>
      <w:r w:rsidRPr="00643FF5">
        <w:rPr>
          <w:sz w:val="22"/>
          <w:szCs w:val="22"/>
        </w:rPr>
        <w:t>the stratum corneum layer of the skin</w:t>
      </w:r>
      <w:r w:rsidR="00C31556" w:rsidRPr="00643FF5">
        <w:rPr>
          <w:sz w:val="22"/>
          <w:szCs w:val="22"/>
        </w:rPr>
        <w:t xml:space="preserve"> acts as a formidable barrier</w:t>
      </w:r>
      <w:r w:rsidRPr="00643FF5">
        <w:rPr>
          <w:sz w:val="22"/>
          <w:szCs w:val="22"/>
        </w:rPr>
        <w:t xml:space="preserve"> to drug delivery. The use of chemical penetration enhancers is one of the many techniques used to surmount this barrier.</w:t>
      </w:r>
    </w:p>
    <w:p w:rsidR="00EE6DEB" w:rsidRPr="00643FF5" w:rsidRDefault="00EE6DEB" w:rsidP="00C31556">
      <w:pPr>
        <w:spacing w:line="360" w:lineRule="auto"/>
        <w:jc w:val="both"/>
        <w:rPr>
          <w:sz w:val="22"/>
          <w:szCs w:val="22"/>
        </w:rPr>
      </w:pPr>
    </w:p>
    <w:p w:rsidR="00EE6DEB" w:rsidRPr="00643FF5" w:rsidRDefault="00EE6DEB" w:rsidP="00C31556">
      <w:pPr>
        <w:spacing w:line="360" w:lineRule="auto"/>
        <w:jc w:val="both"/>
        <w:rPr>
          <w:sz w:val="22"/>
          <w:szCs w:val="22"/>
        </w:rPr>
      </w:pPr>
      <w:r w:rsidRPr="00643FF5">
        <w:rPr>
          <w:sz w:val="22"/>
          <w:szCs w:val="22"/>
        </w:rPr>
        <w:t xml:space="preserve">Literature review suggested the ability of Piperine to act as an oral bioavailability enhancer. The ultimate aim of this study was to determine whether this </w:t>
      </w:r>
      <w:r w:rsidR="00EF1981" w:rsidRPr="00643FF5">
        <w:rPr>
          <w:sz w:val="22"/>
          <w:szCs w:val="22"/>
        </w:rPr>
        <w:t>bioavailability augmentation role of P</w:t>
      </w:r>
      <w:r w:rsidRPr="00643FF5">
        <w:rPr>
          <w:sz w:val="22"/>
          <w:szCs w:val="22"/>
        </w:rPr>
        <w:t>iperine could be extended to the transdermal route.</w:t>
      </w:r>
      <w:r w:rsidR="00EF1981" w:rsidRPr="00643FF5">
        <w:rPr>
          <w:sz w:val="22"/>
          <w:szCs w:val="22"/>
        </w:rPr>
        <w:t xml:space="preserve"> As a derivative of Piperine, Tetrahydropiperine (Cosmoperine® supplied by Sabinsa Corp., </w:t>
      </w:r>
      <w:smartTag w:uri="urn:schemas-microsoft-com:office:smarttags" w:element="country-region">
        <w:smartTag w:uri="urn:schemas-microsoft-com:office:smarttags" w:element="place">
          <w:r w:rsidR="00EF1981" w:rsidRPr="00643FF5">
            <w:rPr>
              <w:sz w:val="22"/>
              <w:szCs w:val="22"/>
            </w:rPr>
            <w:t>U.S.A.</w:t>
          </w:r>
        </w:smartTag>
      </w:smartTag>
      <w:r w:rsidR="00EF1981" w:rsidRPr="00643FF5">
        <w:rPr>
          <w:sz w:val="22"/>
          <w:szCs w:val="22"/>
        </w:rPr>
        <w:t>) was also evaluated.</w:t>
      </w:r>
    </w:p>
    <w:p w:rsidR="00EC1E27" w:rsidRPr="00643FF5" w:rsidRDefault="00EC1E27" w:rsidP="00C31556">
      <w:pPr>
        <w:spacing w:line="360" w:lineRule="auto"/>
        <w:jc w:val="both"/>
        <w:rPr>
          <w:sz w:val="22"/>
          <w:szCs w:val="22"/>
        </w:rPr>
      </w:pPr>
    </w:p>
    <w:p w:rsidR="00EC1E27" w:rsidRPr="00643FF5" w:rsidRDefault="00EC1E27" w:rsidP="00EC1E27">
      <w:pPr>
        <w:spacing w:line="360" w:lineRule="auto"/>
        <w:jc w:val="both"/>
        <w:rPr>
          <w:sz w:val="22"/>
          <w:szCs w:val="22"/>
        </w:rPr>
      </w:pPr>
      <w:r w:rsidRPr="00643FF5">
        <w:rPr>
          <w:sz w:val="22"/>
          <w:szCs w:val="22"/>
        </w:rPr>
        <w:t>Bearing in mind the lipophilic character of the model drug Lidocaine, amphiphilogels superlatively serve</w:t>
      </w:r>
      <w:r w:rsidR="00643FF5" w:rsidRPr="00643FF5">
        <w:rPr>
          <w:sz w:val="22"/>
          <w:szCs w:val="22"/>
        </w:rPr>
        <w:t>d</w:t>
      </w:r>
      <w:r w:rsidRPr="00643FF5">
        <w:rPr>
          <w:sz w:val="22"/>
          <w:szCs w:val="22"/>
        </w:rPr>
        <w:t xml:space="preserve"> the purpose of a delivery medium, due to their superior tendency to dissolve poorly water soluble drugs</w:t>
      </w:r>
      <w:r w:rsidR="00643FF5" w:rsidRPr="00643FF5">
        <w:rPr>
          <w:sz w:val="22"/>
          <w:szCs w:val="22"/>
          <w:vertAlign w:val="superscript"/>
        </w:rPr>
        <w:t>1</w:t>
      </w:r>
      <w:r w:rsidRPr="00643FF5">
        <w:rPr>
          <w:sz w:val="22"/>
          <w:szCs w:val="22"/>
        </w:rPr>
        <w:t xml:space="preserve">. Use of water (enhancer) </w:t>
      </w:r>
      <w:r w:rsidR="00643FF5" w:rsidRPr="00643FF5">
        <w:rPr>
          <w:sz w:val="22"/>
          <w:szCs w:val="22"/>
        </w:rPr>
        <w:t>was</w:t>
      </w:r>
      <w:r w:rsidRPr="00643FF5">
        <w:rPr>
          <w:sz w:val="22"/>
          <w:szCs w:val="22"/>
        </w:rPr>
        <w:t xml:space="preserve"> avoided. The rationale behind </w:t>
      </w:r>
      <w:r w:rsidRPr="00643FF5">
        <w:rPr>
          <w:i/>
          <w:iCs/>
          <w:sz w:val="22"/>
          <w:szCs w:val="22"/>
        </w:rPr>
        <w:t xml:space="preserve">in-vitro </w:t>
      </w:r>
      <w:r w:rsidRPr="00643FF5">
        <w:rPr>
          <w:sz w:val="22"/>
          <w:szCs w:val="22"/>
        </w:rPr>
        <w:t xml:space="preserve">permeation investigation </w:t>
      </w:r>
      <w:r w:rsidR="00643FF5" w:rsidRPr="00643FF5">
        <w:rPr>
          <w:sz w:val="22"/>
          <w:szCs w:val="22"/>
        </w:rPr>
        <w:t>was</w:t>
      </w:r>
      <w:r w:rsidRPr="00643FF5">
        <w:rPr>
          <w:sz w:val="22"/>
          <w:szCs w:val="22"/>
        </w:rPr>
        <w:t xml:space="preserve"> not only to establish the rate and extent of absorption of the active component through the skin, but also evaluating the degree of compound retention within the skin</w:t>
      </w:r>
      <w:r w:rsidR="00643FF5" w:rsidRPr="00643FF5">
        <w:rPr>
          <w:sz w:val="22"/>
          <w:szCs w:val="22"/>
          <w:vertAlign w:val="superscript"/>
        </w:rPr>
        <w:t>2</w:t>
      </w:r>
      <w:r w:rsidRPr="00643FF5">
        <w:rPr>
          <w:sz w:val="22"/>
          <w:szCs w:val="22"/>
        </w:rPr>
        <w:t>. To satisfy this supplementary intention, it was decided to specifically employ the SPE technique.</w:t>
      </w:r>
      <w:r w:rsidR="00643FF5" w:rsidRPr="00643FF5">
        <w:rPr>
          <w:sz w:val="22"/>
          <w:szCs w:val="22"/>
        </w:rPr>
        <w:t xml:space="preserve"> This technique also helped to prepare the sample for subsequent HPLC analysis.</w:t>
      </w:r>
    </w:p>
    <w:p w:rsidR="007B5EE5" w:rsidRDefault="007B5EE5" w:rsidP="00C31556">
      <w:pPr>
        <w:spacing w:line="360" w:lineRule="auto"/>
        <w:jc w:val="both"/>
        <w:rPr>
          <w:b/>
          <w:bCs/>
          <w:sz w:val="22"/>
          <w:szCs w:val="22"/>
        </w:rPr>
      </w:pPr>
    </w:p>
    <w:p w:rsidR="00426C13" w:rsidRDefault="00643FF5" w:rsidP="00C31556">
      <w:pPr>
        <w:spacing w:line="360" w:lineRule="auto"/>
        <w:jc w:val="both"/>
        <w:rPr>
          <w:b/>
          <w:bCs/>
          <w:sz w:val="22"/>
          <w:szCs w:val="22"/>
        </w:rPr>
      </w:pPr>
      <w:r w:rsidRPr="00643FF5">
        <w:rPr>
          <w:b/>
          <w:bCs/>
          <w:sz w:val="22"/>
          <w:szCs w:val="22"/>
        </w:rPr>
        <w:t>Method.</w:t>
      </w:r>
    </w:p>
    <w:p w:rsidR="00426C13" w:rsidRPr="00426C13" w:rsidRDefault="00426C13" w:rsidP="00C31556">
      <w:pPr>
        <w:spacing w:line="360" w:lineRule="auto"/>
        <w:jc w:val="both"/>
        <w:rPr>
          <w:b/>
          <w:bCs/>
          <w:sz w:val="22"/>
          <w:szCs w:val="22"/>
        </w:rPr>
      </w:pPr>
      <w:r w:rsidRPr="00426C13">
        <w:rPr>
          <w:sz w:val="22"/>
          <w:szCs w:val="22"/>
        </w:rPr>
        <w:t>The establishment of HPLC analysis method for the model drug Lidocaine was followed by the preparation and characterization of amphiphilogels</w:t>
      </w:r>
      <w:r>
        <w:rPr>
          <w:sz w:val="22"/>
          <w:szCs w:val="22"/>
        </w:rPr>
        <w:t xml:space="preserve">. </w:t>
      </w:r>
      <w:r>
        <w:rPr>
          <w:sz w:val="23"/>
          <w:szCs w:val="23"/>
        </w:rPr>
        <w:t xml:space="preserve">The </w:t>
      </w:r>
      <w:r w:rsidR="007B5EE5">
        <w:rPr>
          <w:sz w:val="23"/>
          <w:szCs w:val="23"/>
        </w:rPr>
        <w:t>conventional</w:t>
      </w:r>
      <w:r>
        <w:rPr>
          <w:sz w:val="23"/>
          <w:szCs w:val="23"/>
        </w:rPr>
        <w:t xml:space="preserve"> liquid-liquid extraction </w:t>
      </w:r>
      <w:r>
        <w:rPr>
          <w:sz w:val="23"/>
          <w:szCs w:val="23"/>
        </w:rPr>
        <w:lastRenderedPageBreak/>
        <w:t xml:space="preserve">method was considered as a benchmark for the evaluation of the developed SPE protocol. </w:t>
      </w:r>
      <w:r w:rsidR="007B5EE5">
        <w:rPr>
          <w:sz w:val="23"/>
          <w:szCs w:val="23"/>
        </w:rPr>
        <w:t>Franz diffusion cells were used to conduct drug diffusion studies through excised rat skin.</w:t>
      </w:r>
    </w:p>
    <w:p w:rsidR="00426C13" w:rsidRPr="00426C13" w:rsidRDefault="00426C13" w:rsidP="00C31556">
      <w:pPr>
        <w:spacing w:line="360" w:lineRule="auto"/>
        <w:jc w:val="both"/>
        <w:rPr>
          <w:sz w:val="22"/>
          <w:szCs w:val="22"/>
        </w:rPr>
      </w:pPr>
    </w:p>
    <w:p w:rsidR="00643FF5" w:rsidRDefault="00643FF5" w:rsidP="00C31556">
      <w:pPr>
        <w:spacing w:line="360" w:lineRule="auto"/>
        <w:jc w:val="both"/>
        <w:rPr>
          <w:sz w:val="22"/>
          <w:szCs w:val="22"/>
        </w:rPr>
      </w:pPr>
      <w:r w:rsidRPr="00426C13">
        <w:rPr>
          <w:sz w:val="22"/>
          <w:szCs w:val="22"/>
        </w:rPr>
        <w:t>The four amphiphilogels considered as formulations included a control formulation (5.0%</w:t>
      </w:r>
      <w:r w:rsidRPr="00426C13">
        <w:rPr>
          <w:sz w:val="22"/>
          <w:szCs w:val="22"/>
          <w:vertAlign w:val="superscript"/>
        </w:rPr>
        <w:t>w</w:t>
      </w:r>
      <w:r w:rsidRPr="00426C13">
        <w:rPr>
          <w:sz w:val="22"/>
          <w:szCs w:val="22"/>
        </w:rPr>
        <w:t>/</w:t>
      </w:r>
      <w:r w:rsidRPr="00426C13">
        <w:rPr>
          <w:sz w:val="22"/>
          <w:szCs w:val="22"/>
          <w:vertAlign w:val="subscript"/>
        </w:rPr>
        <w:t>w</w:t>
      </w:r>
      <w:r w:rsidRPr="00426C13">
        <w:rPr>
          <w:sz w:val="22"/>
          <w:szCs w:val="22"/>
        </w:rPr>
        <w:t xml:space="preserve"> Lidocaine with no enhancer), with subsequent formulations incorporating the </w:t>
      </w:r>
      <w:r w:rsidR="008F4933">
        <w:rPr>
          <w:sz w:val="22"/>
          <w:szCs w:val="22"/>
        </w:rPr>
        <w:t xml:space="preserve">potential </w:t>
      </w:r>
      <w:r w:rsidRPr="00426C13">
        <w:rPr>
          <w:sz w:val="22"/>
          <w:szCs w:val="22"/>
        </w:rPr>
        <w:t>enhancer. 1.5%</w:t>
      </w:r>
      <w:r w:rsidRPr="00426C13">
        <w:rPr>
          <w:sz w:val="22"/>
          <w:szCs w:val="22"/>
          <w:vertAlign w:val="superscript"/>
        </w:rPr>
        <w:t xml:space="preserve"> w</w:t>
      </w:r>
      <w:r w:rsidRPr="00426C13">
        <w:rPr>
          <w:sz w:val="22"/>
          <w:szCs w:val="22"/>
        </w:rPr>
        <w:t>/</w:t>
      </w:r>
      <w:r w:rsidRPr="00426C13">
        <w:rPr>
          <w:sz w:val="22"/>
          <w:szCs w:val="22"/>
          <w:vertAlign w:val="subscript"/>
        </w:rPr>
        <w:t>w</w:t>
      </w:r>
      <w:r w:rsidRPr="00426C13">
        <w:rPr>
          <w:sz w:val="22"/>
          <w:szCs w:val="22"/>
        </w:rPr>
        <w:t xml:space="preserve"> Piperine along with 1.5%</w:t>
      </w:r>
      <w:r w:rsidRPr="00426C13">
        <w:rPr>
          <w:sz w:val="22"/>
          <w:szCs w:val="22"/>
          <w:vertAlign w:val="superscript"/>
        </w:rPr>
        <w:t xml:space="preserve"> w</w:t>
      </w:r>
      <w:r w:rsidRPr="00426C13">
        <w:rPr>
          <w:sz w:val="22"/>
          <w:szCs w:val="22"/>
        </w:rPr>
        <w:t>/</w:t>
      </w:r>
      <w:r w:rsidRPr="00426C13">
        <w:rPr>
          <w:sz w:val="22"/>
          <w:szCs w:val="22"/>
          <w:vertAlign w:val="subscript"/>
        </w:rPr>
        <w:t>w</w:t>
      </w:r>
      <w:r w:rsidRPr="00426C13">
        <w:rPr>
          <w:sz w:val="22"/>
          <w:szCs w:val="22"/>
        </w:rPr>
        <w:t xml:space="preserve"> and 3.0%</w:t>
      </w:r>
      <w:r w:rsidRPr="00426C13">
        <w:rPr>
          <w:sz w:val="22"/>
          <w:szCs w:val="22"/>
          <w:vertAlign w:val="superscript"/>
        </w:rPr>
        <w:t xml:space="preserve"> w</w:t>
      </w:r>
      <w:r w:rsidRPr="00426C13">
        <w:rPr>
          <w:sz w:val="22"/>
          <w:szCs w:val="22"/>
        </w:rPr>
        <w:t>/</w:t>
      </w:r>
      <w:r w:rsidRPr="00426C13">
        <w:rPr>
          <w:sz w:val="22"/>
          <w:szCs w:val="22"/>
          <w:vertAlign w:val="subscript"/>
        </w:rPr>
        <w:t>w</w:t>
      </w:r>
      <w:r w:rsidRPr="00426C13">
        <w:rPr>
          <w:sz w:val="22"/>
          <w:szCs w:val="22"/>
        </w:rPr>
        <w:t xml:space="preserve"> Cosmoperine® were independently considered as enhancers. The cumulative drug release per square centimeter was determined as a function of time for all the four formulations</w:t>
      </w:r>
      <w:r w:rsidR="007B5EE5">
        <w:rPr>
          <w:sz w:val="22"/>
          <w:szCs w:val="22"/>
        </w:rPr>
        <w:t>.</w:t>
      </w:r>
      <w:r w:rsidR="00134456">
        <w:rPr>
          <w:sz w:val="22"/>
          <w:szCs w:val="22"/>
        </w:rPr>
        <w:t xml:space="preserve"> Four repetitions were </w:t>
      </w:r>
      <w:r w:rsidR="008F4933">
        <w:rPr>
          <w:sz w:val="22"/>
          <w:szCs w:val="22"/>
        </w:rPr>
        <w:t>performed</w:t>
      </w:r>
      <w:r w:rsidR="00134456">
        <w:rPr>
          <w:sz w:val="22"/>
          <w:szCs w:val="22"/>
        </w:rPr>
        <w:t xml:space="preserve"> for each formulation.</w:t>
      </w:r>
    </w:p>
    <w:p w:rsidR="007B5EE5" w:rsidRDefault="007B5EE5" w:rsidP="00C31556">
      <w:pPr>
        <w:spacing w:line="360" w:lineRule="auto"/>
        <w:jc w:val="both"/>
        <w:rPr>
          <w:sz w:val="22"/>
          <w:szCs w:val="22"/>
        </w:rPr>
      </w:pPr>
    </w:p>
    <w:p w:rsidR="007B5EE5" w:rsidRDefault="007B5EE5" w:rsidP="00C31556">
      <w:pPr>
        <w:spacing w:line="360" w:lineRule="auto"/>
        <w:jc w:val="both"/>
        <w:rPr>
          <w:b/>
          <w:bCs/>
          <w:sz w:val="22"/>
          <w:szCs w:val="22"/>
        </w:rPr>
      </w:pPr>
      <w:r w:rsidRPr="007B5EE5">
        <w:rPr>
          <w:b/>
          <w:bCs/>
          <w:sz w:val="22"/>
          <w:szCs w:val="22"/>
        </w:rPr>
        <w:t>Results.</w:t>
      </w:r>
    </w:p>
    <w:p w:rsidR="00134456" w:rsidRPr="00134456" w:rsidRDefault="00134456" w:rsidP="00C31556">
      <w:pPr>
        <w:spacing w:line="360" w:lineRule="auto"/>
        <w:jc w:val="both"/>
        <w:rPr>
          <w:sz w:val="22"/>
          <w:szCs w:val="22"/>
        </w:rPr>
      </w:pPr>
      <w:r w:rsidRPr="00134456">
        <w:rPr>
          <w:sz w:val="22"/>
          <w:szCs w:val="22"/>
        </w:rPr>
        <w:t>The results are summarized in table: 1.</w:t>
      </w:r>
    </w:p>
    <w:tbl>
      <w:tblPr>
        <w:tblW w:w="6340" w:type="dxa"/>
        <w:jc w:val="center"/>
        <w:tblInd w:w="93" w:type="dxa"/>
        <w:tblLook w:val="0000"/>
      </w:tblPr>
      <w:tblGrid>
        <w:gridCol w:w="1372"/>
        <w:gridCol w:w="960"/>
        <w:gridCol w:w="960"/>
        <w:gridCol w:w="1280"/>
        <w:gridCol w:w="1051"/>
        <w:gridCol w:w="960"/>
      </w:tblGrid>
      <w:tr w:rsidR="00134456">
        <w:trPr>
          <w:trHeight w:val="300"/>
          <w:jc w:val="center"/>
        </w:trPr>
        <w:tc>
          <w:tcPr>
            <w:tcW w:w="6340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134456" w:rsidRDefault="001344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Table: 1, Mathematical treatment of permeation data.</w:t>
            </w:r>
          </w:p>
        </w:tc>
      </w:tr>
      <w:tr w:rsidR="00134456">
        <w:trPr>
          <w:trHeight w:val="1095"/>
          <w:jc w:val="center"/>
        </w:trPr>
        <w:tc>
          <w:tcPr>
            <w:tcW w:w="122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134456" w:rsidRDefault="0013445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Formulation considered.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134456" w:rsidRDefault="0013445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Mean </w:t>
            </w:r>
            <w:r>
              <w:rPr>
                <w:rFonts w:ascii="Arial" w:hAnsi="Arial"/>
                <w:b/>
                <w:bCs/>
              </w:rPr>
              <w:t>L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in hr </w:t>
            </w: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 xml:space="preserve">(and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±</w:t>
            </w: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STDev)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134456" w:rsidRDefault="0013445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Mean </w:t>
            </w:r>
            <w:r>
              <w:rPr>
                <w:rFonts w:ascii="Arial" w:hAnsi="Arial"/>
                <w:b/>
                <w:bCs/>
              </w:rPr>
              <w:t>J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 xml:space="preserve">(and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±</w:t>
            </w: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STDev)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134456" w:rsidRDefault="0013445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Mean </w:t>
            </w:r>
            <w:r>
              <w:rPr>
                <w:rFonts w:ascii="Arial" w:hAnsi="Arial"/>
                <w:b/>
                <w:bCs/>
              </w:rPr>
              <w:t>k</w:t>
            </w:r>
            <w:r>
              <w:rPr>
                <w:rFonts w:ascii="Arial" w:hAnsi="Arial"/>
                <w:b/>
                <w:bCs/>
                <w:vertAlign w:val="subscript"/>
              </w:rPr>
              <w:t>p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 xml:space="preserve">(and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±</w:t>
            </w: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STDev).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134456" w:rsidRDefault="0013445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Mean </w:t>
            </w:r>
            <w:r>
              <w:rPr>
                <w:rFonts w:ascii="Arial" w:hAnsi="Arial"/>
                <w:b/>
                <w:bCs/>
              </w:rPr>
              <w:t>Ph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 xml:space="preserve">(and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±</w:t>
            </w: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STDev).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969696"/>
            <w:vAlign w:val="center"/>
          </w:tcPr>
          <w:p w:rsidR="00134456" w:rsidRDefault="0013445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Mean </w:t>
            </w:r>
            <w:r>
              <w:rPr>
                <w:rFonts w:ascii="Arial" w:hAnsi="Arial"/>
                <w:b/>
                <w:bCs/>
              </w:rPr>
              <w:t>D/h</w:t>
            </w:r>
            <w:r>
              <w:rPr>
                <w:rFonts w:ascii="Arial" w:hAnsi="Arial"/>
                <w:b/>
                <w:bCs/>
                <w:vertAlign w:val="superscript"/>
              </w:rPr>
              <w:t>2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 xml:space="preserve">(and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±</w:t>
            </w: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STDev)</w:t>
            </w:r>
          </w:p>
        </w:tc>
      </w:tr>
      <w:tr w:rsidR="00134456">
        <w:trPr>
          <w:trHeight w:val="270"/>
          <w:jc w:val="center"/>
        </w:trPr>
        <w:tc>
          <w:tcPr>
            <w:tcW w:w="122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134456" w:rsidRDefault="0013445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Control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134456" w:rsidRDefault="0013445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1.85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134456" w:rsidRDefault="0013445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11.640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134456" w:rsidRDefault="0013445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0.0002328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134456" w:rsidRDefault="0013445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0.002618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969696"/>
            <w:noWrap/>
            <w:vAlign w:val="center"/>
          </w:tcPr>
          <w:p w:rsidR="00134456" w:rsidRDefault="0013445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0.0903</w:t>
            </w:r>
          </w:p>
        </w:tc>
      </w:tr>
      <w:tr w:rsidR="00134456">
        <w:trPr>
          <w:trHeight w:val="255"/>
          <w:jc w:val="center"/>
        </w:trPr>
        <w:tc>
          <w:tcPr>
            <w:tcW w:w="122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4456">
        <w:trPr>
          <w:trHeight w:val="255"/>
          <w:jc w:val="center"/>
        </w:trPr>
        <w:tc>
          <w:tcPr>
            <w:tcW w:w="122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134456" w:rsidRDefault="00134456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0.11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134456" w:rsidRDefault="00134456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2.444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134456" w:rsidRDefault="00134456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0.0000489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134456" w:rsidRDefault="00134456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0.0006966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969696"/>
            <w:noWrap/>
            <w:vAlign w:val="center"/>
          </w:tcPr>
          <w:p w:rsidR="00134456" w:rsidRDefault="00134456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0.0053</w:t>
            </w:r>
          </w:p>
        </w:tc>
      </w:tr>
      <w:tr w:rsidR="00134456">
        <w:trPr>
          <w:trHeight w:val="270"/>
          <w:jc w:val="center"/>
        </w:trPr>
        <w:tc>
          <w:tcPr>
            <w:tcW w:w="122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</w:tr>
      <w:tr w:rsidR="00134456">
        <w:trPr>
          <w:trHeight w:val="270"/>
          <w:jc w:val="center"/>
        </w:trPr>
        <w:tc>
          <w:tcPr>
            <w:tcW w:w="122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969696"/>
            <w:vAlign w:val="center"/>
          </w:tcPr>
          <w:p w:rsidR="00134456" w:rsidRDefault="0013445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Piperine 1.5%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w</w:t>
            </w:r>
            <w:r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  <w:vertAlign w:val="subscript"/>
              </w:rPr>
              <w:t>w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134456" w:rsidRDefault="0013445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1.64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134456" w:rsidRDefault="0013445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17.130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134456" w:rsidRDefault="0013445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0.0003426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134456" w:rsidRDefault="0013445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0.003364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969696"/>
            <w:noWrap/>
            <w:vAlign w:val="center"/>
          </w:tcPr>
          <w:p w:rsidR="00134456" w:rsidRDefault="0013445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0.1029</w:t>
            </w:r>
          </w:p>
        </w:tc>
      </w:tr>
      <w:tr w:rsidR="00134456">
        <w:trPr>
          <w:trHeight w:val="255"/>
          <w:jc w:val="center"/>
        </w:trPr>
        <w:tc>
          <w:tcPr>
            <w:tcW w:w="122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4456">
        <w:trPr>
          <w:trHeight w:val="255"/>
          <w:jc w:val="center"/>
        </w:trPr>
        <w:tc>
          <w:tcPr>
            <w:tcW w:w="122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134456" w:rsidRDefault="00134456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0.15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134456" w:rsidRDefault="00134456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1.533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134456" w:rsidRDefault="00134456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0.0000307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134456" w:rsidRDefault="00134456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0.0004436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969696"/>
            <w:noWrap/>
            <w:vAlign w:val="center"/>
          </w:tcPr>
          <w:p w:rsidR="00134456" w:rsidRDefault="00134456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0.0104</w:t>
            </w:r>
          </w:p>
        </w:tc>
      </w:tr>
      <w:tr w:rsidR="00134456">
        <w:trPr>
          <w:trHeight w:val="270"/>
          <w:jc w:val="center"/>
        </w:trPr>
        <w:tc>
          <w:tcPr>
            <w:tcW w:w="122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</w:tr>
      <w:tr w:rsidR="00134456">
        <w:trPr>
          <w:trHeight w:val="270"/>
          <w:jc w:val="center"/>
        </w:trPr>
        <w:tc>
          <w:tcPr>
            <w:tcW w:w="122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969696"/>
            <w:vAlign w:val="center"/>
          </w:tcPr>
          <w:p w:rsidR="00134456" w:rsidRDefault="0013445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Cosmo.® 1.5%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w</w:t>
            </w:r>
            <w:r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  <w:vertAlign w:val="subscript"/>
              </w:rPr>
              <w:t>w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134456" w:rsidRDefault="0013445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1.72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134456" w:rsidRDefault="0013445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19.644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134456" w:rsidRDefault="0013445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0.0003929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134456" w:rsidRDefault="0013445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0.003987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969696"/>
            <w:noWrap/>
            <w:vAlign w:val="center"/>
          </w:tcPr>
          <w:p w:rsidR="00134456" w:rsidRDefault="0013445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0.1032</w:t>
            </w:r>
          </w:p>
        </w:tc>
      </w:tr>
      <w:tr w:rsidR="00134456">
        <w:trPr>
          <w:trHeight w:val="255"/>
          <w:jc w:val="center"/>
        </w:trPr>
        <w:tc>
          <w:tcPr>
            <w:tcW w:w="122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4456">
        <w:trPr>
          <w:trHeight w:val="255"/>
          <w:jc w:val="center"/>
        </w:trPr>
        <w:tc>
          <w:tcPr>
            <w:tcW w:w="122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134456" w:rsidRDefault="00134456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0.41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134456" w:rsidRDefault="00134456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1.786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134456" w:rsidRDefault="00134456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0.0000357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134456" w:rsidRDefault="00134456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0.0007375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969696"/>
            <w:noWrap/>
            <w:vAlign w:val="center"/>
          </w:tcPr>
          <w:p w:rsidR="00134456" w:rsidRDefault="00134456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0.0258</w:t>
            </w:r>
          </w:p>
        </w:tc>
      </w:tr>
      <w:tr w:rsidR="00134456">
        <w:trPr>
          <w:trHeight w:val="270"/>
          <w:jc w:val="center"/>
        </w:trPr>
        <w:tc>
          <w:tcPr>
            <w:tcW w:w="122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</w:tr>
      <w:tr w:rsidR="00134456">
        <w:trPr>
          <w:trHeight w:val="270"/>
          <w:jc w:val="center"/>
        </w:trPr>
        <w:tc>
          <w:tcPr>
            <w:tcW w:w="122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969696"/>
            <w:vAlign w:val="center"/>
          </w:tcPr>
          <w:p w:rsidR="00134456" w:rsidRDefault="0013445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Cosmo.® 3.0%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w</w:t>
            </w:r>
            <w:r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  <w:vertAlign w:val="subscript"/>
              </w:rPr>
              <w:t>w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134456" w:rsidRDefault="0013445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1.79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134456" w:rsidRDefault="0013445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23.735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134456" w:rsidRDefault="0013445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0.0004747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134456" w:rsidRDefault="0013445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0.005109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969696"/>
            <w:noWrap/>
            <w:vAlign w:val="center"/>
          </w:tcPr>
          <w:p w:rsidR="00134456" w:rsidRDefault="0013445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0.0937</w:t>
            </w:r>
          </w:p>
        </w:tc>
      </w:tr>
      <w:tr w:rsidR="00134456">
        <w:trPr>
          <w:trHeight w:val="255"/>
          <w:jc w:val="center"/>
        </w:trPr>
        <w:tc>
          <w:tcPr>
            <w:tcW w:w="122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34456">
        <w:trPr>
          <w:trHeight w:val="255"/>
          <w:jc w:val="center"/>
        </w:trPr>
        <w:tc>
          <w:tcPr>
            <w:tcW w:w="122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134456" w:rsidRDefault="00134456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0.13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134456" w:rsidRDefault="00134456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1.406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134456" w:rsidRDefault="00134456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0.0000281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134456" w:rsidRDefault="00134456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0.0006422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969696"/>
            <w:noWrap/>
            <w:vAlign w:val="center"/>
          </w:tcPr>
          <w:p w:rsidR="00134456" w:rsidRDefault="00134456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0.0066</w:t>
            </w:r>
          </w:p>
        </w:tc>
      </w:tr>
      <w:tr w:rsidR="00134456">
        <w:trPr>
          <w:trHeight w:val="270"/>
          <w:jc w:val="center"/>
        </w:trPr>
        <w:tc>
          <w:tcPr>
            <w:tcW w:w="122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134456" w:rsidRDefault="00134456">
            <w:pPr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</w:tr>
    </w:tbl>
    <w:p w:rsidR="00DE3B1C" w:rsidRDefault="00DE3B1C" w:rsidP="00C31556">
      <w:pPr>
        <w:spacing w:line="360" w:lineRule="auto"/>
        <w:jc w:val="both"/>
        <w:rPr>
          <w:sz w:val="18"/>
          <w:szCs w:val="18"/>
        </w:rPr>
      </w:pPr>
    </w:p>
    <w:p w:rsidR="007B5EE5" w:rsidRPr="004A75A6" w:rsidRDefault="00134456" w:rsidP="00C31556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L: Lag time; J: </w:t>
      </w:r>
      <w:r w:rsidRPr="00134456">
        <w:rPr>
          <w:i/>
          <w:iCs/>
          <w:sz w:val="18"/>
          <w:szCs w:val="18"/>
        </w:rPr>
        <w:t>pseudo-steady-state</w:t>
      </w:r>
      <w:r w:rsidRPr="00134456">
        <w:rPr>
          <w:sz w:val="18"/>
          <w:szCs w:val="18"/>
        </w:rPr>
        <w:t>-flux;</w:t>
      </w:r>
      <w:r>
        <w:rPr>
          <w:sz w:val="18"/>
          <w:szCs w:val="18"/>
        </w:rPr>
        <w:t xml:space="preserve"> </w:t>
      </w:r>
      <w:r w:rsidR="004A75A6" w:rsidRPr="004A75A6">
        <w:rPr>
          <w:sz w:val="18"/>
          <w:szCs w:val="18"/>
        </w:rPr>
        <w:t>k</w:t>
      </w:r>
      <w:r w:rsidR="004A75A6" w:rsidRPr="004A75A6">
        <w:rPr>
          <w:sz w:val="18"/>
          <w:szCs w:val="18"/>
          <w:vertAlign w:val="subscript"/>
        </w:rPr>
        <w:t>p:</w:t>
      </w:r>
      <w:r w:rsidR="004A75A6">
        <w:rPr>
          <w:sz w:val="23"/>
          <w:szCs w:val="23"/>
        </w:rPr>
        <w:t xml:space="preserve"> </w:t>
      </w:r>
      <w:r w:rsidR="004A75A6" w:rsidRPr="004A75A6">
        <w:rPr>
          <w:sz w:val="18"/>
          <w:szCs w:val="18"/>
        </w:rPr>
        <w:t xml:space="preserve">permeability coefficient; </w:t>
      </w:r>
      <w:r w:rsidR="0085427A">
        <w:rPr>
          <w:sz w:val="18"/>
          <w:szCs w:val="18"/>
        </w:rPr>
        <w:t xml:space="preserve">Ph: </w:t>
      </w:r>
      <w:r w:rsidR="004A75A6">
        <w:rPr>
          <w:sz w:val="18"/>
          <w:szCs w:val="18"/>
        </w:rPr>
        <w:t>indicative partition coefficient; D/h</w:t>
      </w:r>
      <w:r w:rsidR="004A75A6" w:rsidRPr="004A75A6">
        <w:rPr>
          <w:sz w:val="18"/>
          <w:szCs w:val="18"/>
          <w:vertAlign w:val="superscript"/>
        </w:rPr>
        <w:t>2</w:t>
      </w:r>
      <w:r w:rsidR="004A75A6">
        <w:rPr>
          <w:sz w:val="18"/>
          <w:szCs w:val="18"/>
        </w:rPr>
        <w:t xml:space="preserve">: indicative diffusion coefficient. The indicative values </w:t>
      </w:r>
      <w:r w:rsidR="0085427A">
        <w:rPr>
          <w:sz w:val="18"/>
          <w:szCs w:val="18"/>
        </w:rPr>
        <w:t>were</w:t>
      </w:r>
      <w:r w:rsidR="004A75A6">
        <w:rPr>
          <w:sz w:val="18"/>
          <w:szCs w:val="18"/>
        </w:rPr>
        <w:t xml:space="preserve"> considered because the value of h </w:t>
      </w:r>
      <w:r w:rsidR="0085427A">
        <w:rPr>
          <w:sz w:val="18"/>
          <w:szCs w:val="18"/>
        </w:rPr>
        <w:t xml:space="preserve">(thickness) </w:t>
      </w:r>
      <w:r w:rsidR="004A75A6">
        <w:rPr>
          <w:sz w:val="18"/>
          <w:szCs w:val="18"/>
        </w:rPr>
        <w:t>was unknown.</w:t>
      </w:r>
    </w:p>
    <w:p w:rsidR="00DE3B1C" w:rsidRDefault="00DE3B1C" w:rsidP="00C31556">
      <w:pPr>
        <w:spacing w:line="360" w:lineRule="auto"/>
        <w:jc w:val="both"/>
        <w:rPr>
          <w:sz w:val="22"/>
          <w:szCs w:val="22"/>
        </w:rPr>
      </w:pPr>
    </w:p>
    <w:p w:rsidR="007B5EE5" w:rsidRPr="004A75A6" w:rsidRDefault="004A75A6" w:rsidP="00C31556">
      <w:pPr>
        <w:spacing w:line="360" w:lineRule="auto"/>
        <w:jc w:val="both"/>
        <w:rPr>
          <w:sz w:val="22"/>
          <w:szCs w:val="22"/>
        </w:rPr>
      </w:pPr>
      <w:r w:rsidRPr="004A75A6">
        <w:rPr>
          <w:sz w:val="22"/>
          <w:szCs w:val="22"/>
        </w:rPr>
        <w:t xml:space="preserve">In order to reach explicit conclusions, </w:t>
      </w:r>
      <w:r w:rsidR="0085427A">
        <w:rPr>
          <w:sz w:val="22"/>
          <w:szCs w:val="22"/>
        </w:rPr>
        <w:t xml:space="preserve">further </w:t>
      </w:r>
      <w:r w:rsidRPr="004A75A6">
        <w:rPr>
          <w:sz w:val="22"/>
          <w:szCs w:val="22"/>
        </w:rPr>
        <w:t xml:space="preserve">statistical analysis of the data was undertaken, while comparing the different formulations.  </w:t>
      </w:r>
    </w:p>
    <w:p w:rsidR="007B5EE5" w:rsidRDefault="004A75A6" w:rsidP="00C31556">
      <w:pPr>
        <w:spacing w:line="360" w:lineRule="auto"/>
        <w:jc w:val="both"/>
        <w:rPr>
          <w:b/>
          <w:bCs/>
          <w:sz w:val="22"/>
          <w:szCs w:val="22"/>
        </w:rPr>
      </w:pPr>
      <w:r w:rsidRPr="004A75A6">
        <w:rPr>
          <w:b/>
          <w:bCs/>
          <w:sz w:val="22"/>
          <w:szCs w:val="22"/>
        </w:rPr>
        <w:lastRenderedPageBreak/>
        <w:t>Discussion.</w:t>
      </w:r>
    </w:p>
    <w:p w:rsidR="00B830B9" w:rsidRPr="00B830B9" w:rsidRDefault="00B830B9" w:rsidP="00B830B9">
      <w:pPr>
        <w:spacing w:line="360" w:lineRule="auto"/>
        <w:jc w:val="both"/>
        <w:rPr>
          <w:sz w:val="22"/>
          <w:szCs w:val="22"/>
        </w:rPr>
      </w:pPr>
      <w:r w:rsidRPr="00B830B9">
        <w:rPr>
          <w:sz w:val="22"/>
          <w:szCs w:val="22"/>
        </w:rPr>
        <w:t xml:space="preserve">With extremely limited reservations it can be concluded that (compared to the control) Piperine at a concentration of 1.5% </w:t>
      </w:r>
      <w:r w:rsidRPr="00B830B9">
        <w:rPr>
          <w:sz w:val="22"/>
          <w:szCs w:val="22"/>
          <w:vertAlign w:val="superscript"/>
        </w:rPr>
        <w:t>w</w:t>
      </w:r>
      <w:r w:rsidRPr="00B830B9">
        <w:rPr>
          <w:sz w:val="22"/>
          <w:szCs w:val="22"/>
        </w:rPr>
        <w:t>/</w:t>
      </w:r>
      <w:r w:rsidRPr="00B830B9">
        <w:rPr>
          <w:sz w:val="22"/>
          <w:szCs w:val="22"/>
          <w:vertAlign w:val="subscript"/>
        </w:rPr>
        <w:t>w</w:t>
      </w:r>
      <w:r w:rsidRPr="00B830B9">
        <w:rPr>
          <w:sz w:val="22"/>
          <w:szCs w:val="22"/>
        </w:rPr>
        <w:t xml:space="preserve"> augments the drug diffusion of the model drug Lidocaine across rat skin. The influence of Cosmoperine® at a concentration of 1.5% </w:t>
      </w:r>
      <w:r w:rsidRPr="00B830B9">
        <w:rPr>
          <w:sz w:val="22"/>
          <w:szCs w:val="22"/>
          <w:vertAlign w:val="superscript"/>
        </w:rPr>
        <w:t>w</w:t>
      </w:r>
      <w:r w:rsidRPr="00B830B9">
        <w:rPr>
          <w:sz w:val="22"/>
          <w:szCs w:val="22"/>
        </w:rPr>
        <w:t>/</w:t>
      </w:r>
      <w:r w:rsidRPr="00B830B9">
        <w:rPr>
          <w:sz w:val="22"/>
          <w:szCs w:val="22"/>
          <w:vertAlign w:val="subscript"/>
        </w:rPr>
        <w:t>w</w:t>
      </w:r>
      <w:r w:rsidRPr="00B830B9">
        <w:rPr>
          <w:sz w:val="22"/>
          <w:szCs w:val="22"/>
        </w:rPr>
        <w:t xml:space="preserve"> is similar to that of Piperine at the same concentration. Whereas, such an influence of Cosmoperine® at a concentration of 3.0% </w:t>
      </w:r>
      <w:r w:rsidRPr="00B830B9">
        <w:rPr>
          <w:sz w:val="22"/>
          <w:szCs w:val="22"/>
          <w:vertAlign w:val="superscript"/>
        </w:rPr>
        <w:t>w</w:t>
      </w:r>
      <w:r w:rsidRPr="00B830B9">
        <w:rPr>
          <w:sz w:val="22"/>
          <w:szCs w:val="22"/>
        </w:rPr>
        <w:t>/</w:t>
      </w:r>
      <w:r w:rsidRPr="00B830B9">
        <w:rPr>
          <w:sz w:val="22"/>
          <w:szCs w:val="22"/>
          <w:vertAlign w:val="subscript"/>
        </w:rPr>
        <w:t>w</w:t>
      </w:r>
      <w:r w:rsidRPr="00B830B9">
        <w:rPr>
          <w:sz w:val="22"/>
          <w:szCs w:val="22"/>
        </w:rPr>
        <w:t xml:space="preserve"> is more than that exerted at a concentration of 1.5% </w:t>
      </w:r>
      <w:r w:rsidRPr="00B830B9">
        <w:rPr>
          <w:sz w:val="22"/>
          <w:szCs w:val="22"/>
          <w:vertAlign w:val="superscript"/>
        </w:rPr>
        <w:t>w</w:t>
      </w:r>
      <w:r w:rsidRPr="00B830B9">
        <w:rPr>
          <w:sz w:val="22"/>
          <w:szCs w:val="22"/>
        </w:rPr>
        <w:t>/</w:t>
      </w:r>
      <w:r w:rsidRPr="00B830B9">
        <w:rPr>
          <w:sz w:val="22"/>
          <w:szCs w:val="22"/>
          <w:vertAlign w:val="subscript"/>
        </w:rPr>
        <w:t>w</w:t>
      </w:r>
      <w:r w:rsidRPr="00B830B9">
        <w:rPr>
          <w:sz w:val="22"/>
          <w:szCs w:val="22"/>
        </w:rPr>
        <w:t>. This influence of Piperine and Cosmoperine® does not seem to be due the alteration in the diffusion coefficient, but most likely (with statistical reservations) due to alterations in the partitioning effect.</w:t>
      </w:r>
    </w:p>
    <w:p w:rsidR="00B830B9" w:rsidRDefault="00B830B9" w:rsidP="00C31556">
      <w:pPr>
        <w:spacing w:line="360" w:lineRule="auto"/>
        <w:jc w:val="both"/>
        <w:rPr>
          <w:b/>
          <w:bCs/>
          <w:sz w:val="22"/>
          <w:szCs w:val="22"/>
        </w:rPr>
      </w:pPr>
    </w:p>
    <w:p w:rsidR="00B830B9" w:rsidRDefault="00B830B9" w:rsidP="00C31556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Future work.</w:t>
      </w:r>
    </w:p>
    <w:p w:rsidR="00B830B9" w:rsidRPr="00B830B9" w:rsidRDefault="00B830B9" w:rsidP="00B830B9">
      <w:pPr>
        <w:spacing w:line="360" w:lineRule="auto"/>
        <w:jc w:val="both"/>
        <w:rPr>
          <w:sz w:val="22"/>
          <w:szCs w:val="22"/>
        </w:rPr>
      </w:pPr>
      <w:r w:rsidRPr="00B830B9">
        <w:rPr>
          <w:sz w:val="22"/>
          <w:szCs w:val="22"/>
        </w:rPr>
        <w:t xml:space="preserve">In order to enhance further statistical recognition of the results, repetition of the diffusion studies would be beneficial. Precaution should be taken to ensure measurement of the skin thickness; as such measurement is essential to proceed with the mathematical treatment of the data. Alternative ways of treating the data statistically should be explored. </w:t>
      </w:r>
    </w:p>
    <w:p w:rsidR="00B830B9" w:rsidRPr="00B830B9" w:rsidRDefault="00B830B9" w:rsidP="00B830B9">
      <w:pPr>
        <w:spacing w:line="360" w:lineRule="auto"/>
        <w:jc w:val="both"/>
        <w:rPr>
          <w:sz w:val="22"/>
          <w:szCs w:val="22"/>
        </w:rPr>
      </w:pPr>
    </w:p>
    <w:p w:rsidR="00B830B9" w:rsidRPr="00B830B9" w:rsidRDefault="00B830B9" w:rsidP="00B830B9">
      <w:pPr>
        <w:spacing w:line="360" w:lineRule="auto"/>
        <w:jc w:val="both"/>
        <w:rPr>
          <w:sz w:val="22"/>
          <w:szCs w:val="22"/>
        </w:rPr>
      </w:pPr>
      <w:r w:rsidRPr="00B830B9">
        <w:rPr>
          <w:sz w:val="22"/>
          <w:szCs w:val="22"/>
        </w:rPr>
        <w:t>It would be highly constructive to determine the reasons (mechanism of action) for the rise in the drug diffusion as a result of the incorporation of Piperine and Cosmoperine</w:t>
      </w:r>
      <w:r w:rsidRPr="00B830B9">
        <w:rPr>
          <w:sz w:val="22"/>
          <w:szCs w:val="22"/>
          <w:vertAlign w:val="superscript"/>
        </w:rPr>
        <w:t>®</w:t>
      </w:r>
      <w:r w:rsidRPr="00B830B9">
        <w:rPr>
          <w:sz w:val="22"/>
          <w:szCs w:val="22"/>
        </w:rPr>
        <w:t xml:space="preserve">. A more important step would be the attempt to classify these chemical entities as ‘chemical permeation enhancers’. </w:t>
      </w:r>
    </w:p>
    <w:p w:rsidR="00B830B9" w:rsidRPr="004A75A6" w:rsidRDefault="00B830B9" w:rsidP="00C31556">
      <w:pPr>
        <w:spacing w:line="360" w:lineRule="auto"/>
        <w:jc w:val="both"/>
        <w:rPr>
          <w:b/>
          <w:bCs/>
          <w:sz w:val="22"/>
          <w:szCs w:val="22"/>
        </w:rPr>
      </w:pPr>
    </w:p>
    <w:p w:rsidR="00B830B9" w:rsidRPr="00B830B9" w:rsidRDefault="00B830B9" w:rsidP="00C31556">
      <w:pPr>
        <w:spacing w:line="360" w:lineRule="auto"/>
        <w:jc w:val="both"/>
        <w:rPr>
          <w:b/>
          <w:bCs/>
          <w:sz w:val="22"/>
          <w:szCs w:val="22"/>
        </w:rPr>
      </w:pPr>
      <w:r w:rsidRPr="00B830B9">
        <w:rPr>
          <w:b/>
          <w:bCs/>
          <w:sz w:val="22"/>
          <w:szCs w:val="22"/>
        </w:rPr>
        <w:t>References.</w:t>
      </w:r>
    </w:p>
    <w:p w:rsidR="00B830B9" w:rsidRDefault="00643FF5" w:rsidP="00C31556">
      <w:pPr>
        <w:spacing w:line="360" w:lineRule="auto"/>
        <w:jc w:val="both"/>
        <w:rPr>
          <w:sz w:val="22"/>
          <w:szCs w:val="22"/>
        </w:rPr>
      </w:pPr>
      <w:r w:rsidRPr="00B830B9">
        <w:rPr>
          <w:sz w:val="22"/>
          <w:szCs w:val="22"/>
        </w:rPr>
        <w:t xml:space="preserve">1. </w:t>
      </w:r>
      <w:r w:rsidR="00B830B9" w:rsidRPr="00B830B9">
        <w:rPr>
          <w:sz w:val="22"/>
          <w:szCs w:val="22"/>
        </w:rPr>
        <w:t xml:space="preserve">Jibry, N., Heenan, R. and Murdan, S. 2004, </w:t>
      </w:r>
      <w:r w:rsidR="00B830B9" w:rsidRPr="00B830B9">
        <w:rPr>
          <w:i/>
          <w:iCs/>
          <w:sz w:val="22"/>
          <w:szCs w:val="22"/>
        </w:rPr>
        <w:t>Amphiphilogels for Drug Delivery: Formulation and Characterization.</w:t>
      </w:r>
      <w:r w:rsidR="00B830B9" w:rsidRPr="00B830B9">
        <w:rPr>
          <w:sz w:val="22"/>
          <w:szCs w:val="22"/>
        </w:rPr>
        <w:t xml:space="preserve"> Pharmaceutical Research. Vol. 21(10), p. 1852-1861.</w:t>
      </w:r>
    </w:p>
    <w:p w:rsidR="0002239B" w:rsidRPr="00B830B9" w:rsidRDefault="0002239B" w:rsidP="00C31556">
      <w:pPr>
        <w:spacing w:line="360" w:lineRule="auto"/>
        <w:jc w:val="both"/>
        <w:rPr>
          <w:sz w:val="22"/>
          <w:szCs w:val="22"/>
        </w:rPr>
      </w:pPr>
    </w:p>
    <w:p w:rsidR="00B830B9" w:rsidRPr="00B830B9" w:rsidRDefault="00643FF5" w:rsidP="00B830B9">
      <w:pPr>
        <w:spacing w:line="360" w:lineRule="auto"/>
        <w:jc w:val="both"/>
        <w:rPr>
          <w:sz w:val="22"/>
          <w:szCs w:val="22"/>
        </w:rPr>
      </w:pPr>
      <w:r w:rsidRPr="00B830B9">
        <w:rPr>
          <w:sz w:val="22"/>
          <w:szCs w:val="22"/>
        </w:rPr>
        <w:t>2</w:t>
      </w:r>
      <w:r w:rsidR="00EC1E27" w:rsidRPr="00B830B9">
        <w:rPr>
          <w:sz w:val="22"/>
          <w:szCs w:val="22"/>
        </w:rPr>
        <w:t xml:space="preserve">. </w:t>
      </w:r>
      <w:r w:rsidR="00B830B9" w:rsidRPr="00B830B9">
        <w:rPr>
          <w:sz w:val="22"/>
          <w:szCs w:val="22"/>
        </w:rPr>
        <w:t xml:space="preserve">Witt, K. and Bucks, D. 2003, </w:t>
      </w:r>
      <w:r w:rsidR="00B830B9" w:rsidRPr="00B830B9">
        <w:rPr>
          <w:i/>
          <w:iCs/>
          <w:sz w:val="22"/>
          <w:szCs w:val="22"/>
        </w:rPr>
        <w:t>Studying In Vitro: Skin Penetration and Drug Release to Optimize Dermatological Formulations.</w:t>
      </w:r>
      <w:r w:rsidR="00B830B9" w:rsidRPr="00B830B9">
        <w:rPr>
          <w:sz w:val="22"/>
          <w:szCs w:val="22"/>
        </w:rPr>
        <w:t xml:space="preserve"> Pharmaceutical Technology-North </w:t>
      </w:r>
      <w:smartTag w:uri="urn:schemas-microsoft-com:office:smarttags" w:element="country-region">
        <w:smartTag w:uri="urn:schemas-microsoft-com:office:smarttags" w:element="place">
          <w:r w:rsidR="00B830B9" w:rsidRPr="00B830B9">
            <w:rPr>
              <w:sz w:val="22"/>
              <w:szCs w:val="22"/>
            </w:rPr>
            <w:t>America</w:t>
          </w:r>
        </w:smartTag>
      </w:smartTag>
      <w:r w:rsidR="00B830B9" w:rsidRPr="00B830B9">
        <w:rPr>
          <w:sz w:val="22"/>
          <w:szCs w:val="22"/>
        </w:rPr>
        <w:t xml:space="preserve">. June. (Online).  </w:t>
      </w:r>
      <w:hyperlink r:id="rId7" w:history="1">
        <w:r w:rsidR="00B830B9" w:rsidRPr="00B830B9">
          <w:rPr>
            <w:rStyle w:val="Hyperlink"/>
            <w:sz w:val="22"/>
            <w:szCs w:val="22"/>
          </w:rPr>
          <w:t>http://www.dowpharm.com/publications/PharmTech.pdf</w:t>
        </w:r>
      </w:hyperlink>
      <w:r w:rsidR="00B830B9" w:rsidRPr="00B830B9">
        <w:rPr>
          <w:sz w:val="22"/>
          <w:szCs w:val="22"/>
        </w:rPr>
        <w:t xml:space="preserve">  Accessed: 5</w:t>
      </w:r>
      <w:r w:rsidR="00B830B9" w:rsidRPr="00B830B9">
        <w:rPr>
          <w:sz w:val="22"/>
          <w:szCs w:val="22"/>
          <w:vertAlign w:val="superscript"/>
        </w:rPr>
        <w:t>th</w:t>
      </w:r>
      <w:r w:rsidR="00B830B9" w:rsidRPr="00B830B9">
        <w:rPr>
          <w:sz w:val="22"/>
          <w:szCs w:val="22"/>
        </w:rPr>
        <w:t xml:space="preserve"> May 2005.</w:t>
      </w:r>
    </w:p>
    <w:sectPr w:rsidR="00B830B9" w:rsidRPr="00B830B9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35E" w:rsidRDefault="0033135E">
      <w:r>
        <w:separator/>
      </w:r>
    </w:p>
  </w:endnote>
  <w:endnote w:type="continuationSeparator" w:id="1">
    <w:p w:rsidR="0033135E" w:rsidRDefault="00331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0B9" w:rsidRDefault="00B830B9" w:rsidP="00DE3B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30B9" w:rsidRDefault="00B830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0B9" w:rsidRDefault="00B830B9" w:rsidP="00DE3B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2AEC">
      <w:rPr>
        <w:rStyle w:val="PageNumber"/>
        <w:noProof/>
      </w:rPr>
      <w:t>1</w:t>
    </w:r>
    <w:r>
      <w:rPr>
        <w:rStyle w:val="PageNumber"/>
      </w:rPr>
      <w:fldChar w:fldCharType="end"/>
    </w:r>
  </w:p>
  <w:p w:rsidR="00B830B9" w:rsidRDefault="00B830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35E" w:rsidRDefault="0033135E">
      <w:r>
        <w:separator/>
      </w:r>
    </w:p>
  </w:footnote>
  <w:footnote w:type="continuationSeparator" w:id="1">
    <w:p w:rsidR="0033135E" w:rsidRDefault="003313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C0E52"/>
    <w:multiLevelType w:val="hybridMultilevel"/>
    <w:tmpl w:val="1DA83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27C"/>
    <w:rsid w:val="0002239B"/>
    <w:rsid w:val="00134456"/>
    <w:rsid w:val="0033135E"/>
    <w:rsid w:val="003F75A2"/>
    <w:rsid w:val="00426C13"/>
    <w:rsid w:val="0046527C"/>
    <w:rsid w:val="004A75A6"/>
    <w:rsid w:val="005B0710"/>
    <w:rsid w:val="00624921"/>
    <w:rsid w:val="00643FF5"/>
    <w:rsid w:val="007B5EE5"/>
    <w:rsid w:val="0085427A"/>
    <w:rsid w:val="008B2AEC"/>
    <w:rsid w:val="008F4933"/>
    <w:rsid w:val="00B830B9"/>
    <w:rsid w:val="00C31556"/>
    <w:rsid w:val="00C34178"/>
    <w:rsid w:val="00DE3B1C"/>
    <w:rsid w:val="00EC1E27"/>
    <w:rsid w:val="00EE6DEB"/>
    <w:rsid w:val="00EF1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B830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30B9"/>
  </w:style>
  <w:style w:type="character" w:styleId="Hyperlink">
    <w:name w:val="Hyperlink"/>
    <w:basedOn w:val="DefaultParagraphFont"/>
    <w:rsid w:val="00B830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owpharm.com/publications/PharmTec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Influence of Piperine and Cosmoperine® as Transdermal Drug Delivery Promoters</vt:lpstr>
    </vt:vector>
  </TitlesOfParts>
  <Company> </Company>
  <LinksUpToDate>false</LinksUpToDate>
  <CharactersWithSpaces>5787</CharactersWithSpaces>
  <SharedDoc>false</SharedDoc>
  <HLinks>
    <vt:vector size="6" baseType="variant">
      <vt:variant>
        <vt:i4>3735608</vt:i4>
      </vt:variant>
      <vt:variant>
        <vt:i4>0</vt:i4>
      </vt:variant>
      <vt:variant>
        <vt:i4>0</vt:i4>
      </vt:variant>
      <vt:variant>
        <vt:i4>5</vt:i4>
      </vt:variant>
      <vt:variant>
        <vt:lpwstr>http://www.dowpharm.com/publications/PharmTech.pdf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Influence of Piperine and Cosmoperine® as Transdermal Drug Delivery Promoters</dc:title>
  <dc:subject/>
  <dc:creator>Yatin Matkari.</dc:creator>
  <cp:keywords/>
  <dc:description/>
  <cp:lastModifiedBy>cherry</cp:lastModifiedBy>
  <cp:revision>2</cp:revision>
  <dcterms:created xsi:type="dcterms:W3CDTF">2008-07-01T13:37:00Z</dcterms:created>
  <dcterms:modified xsi:type="dcterms:W3CDTF">2008-07-01T13:37:00Z</dcterms:modified>
</cp:coreProperties>
</file>